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84" w:rsidRPr="00EF62A8" w:rsidRDefault="00B41689" w:rsidP="00EF62A8">
      <w:pPr>
        <w:spacing w:line="480" w:lineRule="auto"/>
        <w:rPr>
          <w:rFonts w:ascii="Times New Roman" w:hAnsi="Times New Roman"/>
          <w:sz w:val="28"/>
        </w:rPr>
      </w:pPr>
      <w:bookmarkStart w:id="0" w:name="_GoBack"/>
      <w:bookmarkEnd w:id="0"/>
      <w:r w:rsidRPr="00EF62A8">
        <w:rPr>
          <w:rFonts w:ascii="Times New Roman" w:hAnsi="Times New Roman"/>
          <w:sz w:val="28"/>
        </w:rPr>
        <w:t>Where Willows Harmonize the Wind: China’s Renewable Energy Law and its Role in Wind Power Development</w:t>
      </w:r>
    </w:p>
    <w:p w:rsidR="00EF62A8" w:rsidRDefault="00560084" w:rsidP="00EF62A8">
      <w:pPr>
        <w:spacing w:line="480" w:lineRule="auto"/>
        <w:rPr>
          <w:rFonts w:ascii="Times New Roman" w:hAnsi="Times New Roman"/>
        </w:rPr>
      </w:pPr>
      <w:r>
        <w:rPr>
          <w:rFonts w:ascii="Times New Roman" w:hAnsi="Times New Roman"/>
        </w:rPr>
        <w:t>Pan Qing and Nathaniel Green</w:t>
      </w:r>
    </w:p>
    <w:p w:rsidR="00DF7CAB" w:rsidRPr="00EF62A8" w:rsidRDefault="00EF62A8" w:rsidP="00EF62A8">
      <w:pPr>
        <w:spacing w:line="480" w:lineRule="auto"/>
        <w:rPr>
          <w:rFonts w:ascii="Times New Roman" w:hAnsi="Times New Roman"/>
        </w:rPr>
      </w:pPr>
      <w:r>
        <w:rPr>
          <w:rFonts w:ascii="Times New Roman" w:hAnsi="Times New Roman"/>
          <w:i/>
        </w:rPr>
        <w:t>Vermont Law School, U.S.-China Partnership for Environmental Law</w:t>
      </w:r>
    </w:p>
    <w:p w:rsidR="00DF7CAB" w:rsidRDefault="00DF7CAB" w:rsidP="00EF62A8">
      <w:pPr>
        <w:spacing w:line="480" w:lineRule="auto"/>
        <w:rPr>
          <w:rFonts w:ascii="Times New Roman" w:hAnsi="Times New Roman"/>
          <w:u w:val="single"/>
        </w:rPr>
      </w:pPr>
    </w:p>
    <w:p w:rsidR="00D22DFC" w:rsidRDefault="00D22DFC" w:rsidP="004C34E6">
      <w:pPr>
        <w:spacing w:line="480" w:lineRule="auto"/>
        <w:rPr>
          <w:rFonts w:ascii="Times New Roman" w:hAnsi="Times New Roman"/>
        </w:rPr>
      </w:pPr>
      <w:r w:rsidRPr="00D22DFC">
        <w:rPr>
          <w:rFonts w:ascii="Times New Roman" w:hAnsi="Times New Roman"/>
          <w:u w:val="single"/>
        </w:rPr>
        <w:t>Abstract</w:t>
      </w:r>
      <w:r>
        <w:rPr>
          <w:rFonts w:ascii="Times New Roman" w:hAnsi="Times New Roman"/>
        </w:rPr>
        <w:t>:</w:t>
      </w:r>
    </w:p>
    <w:p w:rsidR="005441CC" w:rsidRDefault="00D22DFC" w:rsidP="004C34E6">
      <w:pPr>
        <w:spacing w:line="480" w:lineRule="auto"/>
        <w:rPr>
          <w:rFonts w:ascii="Times New Roman" w:hAnsi="Times New Roman"/>
        </w:rPr>
      </w:pPr>
      <w:r>
        <w:rPr>
          <w:rFonts w:ascii="Times New Roman" w:hAnsi="Times New Roman"/>
        </w:rPr>
        <w:tab/>
      </w:r>
      <w:r w:rsidR="000B2E52">
        <w:rPr>
          <w:rFonts w:ascii="Times New Roman" w:hAnsi="Times New Roman"/>
        </w:rPr>
        <w:t xml:space="preserve">China’s central government planners </w:t>
      </w:r>
      <w:r w:rsidR="00522124">
        <w:rPr>
          <w:rFonts w:ascii="Times New Roman" w:hAnsi="Times New Roman"/>
        </w:rPr>
        <w:t xml:space="preserve">publicly recognize the </w:t>
      </w:r>
      <w:r w:rsidR="00082487">
        <w:rPr>
          <w:rFonts w:ascii="Times New Roman" w:hAnsi="Times New Roman"/>
        </w:rPr>
        <w:t xml:space="preserve">dangers posed both by global climate change and by the domestic pollution brought on by the country’s unparalleled growth.  </w:t>
      </w:r>
      <w:r w:rsidR="00AF3657">
        <w:rPr>
          <w:rFonts w:ascii="Times New Roman" w:hAnsi="Times New Roman"/>
        </w:rPr>
        <w:t xml:space="preserve">Policy-makers therefore set ambitious targets for clean-energy development, focusing especially </w:t>
      </w:r>
      <w:proofErr w:type="gramStart"/>
      <w:r w:rsidR="00AF3657">
        <w:rPr>
          <w:rFonts w:ascii="Times New Roman" w:hAnsi="Times New Roman"/>
        </w:rPr>
        <w:t>on</w:t>
      </w:r>
      <w:proofErr w:type="gramEnd"/>
      <w:r w:rsidR="00AF3657">
        <w:rPr>
          <w:rFonts w:ascii="Times New Roman" w:hAnsi="Times New Roman"/>
        </w:rPr>
        <w:t xml:space="preserve"> wind-generated electricity.  </w:t>
      </w:r>
      <w:r w:rsidR="00095670">
        <w:rPr>
          <w:rFonts w:ascii="Times New Roman" w:hAnsi="Times New Roman"/>
        </w:rPr>
        <w:t xml:space="preserve">To meet those targets, China’s developers must rely in large part on the feed-in tariff </w:t>
      </w:r>
      <w:r w:rsidR="0091079F">
        <w:rPr>
          <w:rFonts w:ascii="Times New Roman" w:hAnsi="Times New Roman"/>
        </w:rPr>
        <w:t xml:space="preserve">(FIT) </w:t>
      </w:r>
      <w:r w:rsidR="00095670">
        <w:rPr>
          <w:rFonts w:ascii="Times New Roman" w:hAnsi="Times New Roman"/>
        </w:rPr>
        <w:t xml:space="preserve">regime established by the Renewable Energy Law (REL).  </w:t>
      </w:r>
      <w:r w:rsidR="0091079F">
        <w:rPr>
          <w:rFonts w:ascii="Times New Roman" w:hAnsi="Times New Roman"/>
        </w:rPr>
        <w:t xml:space="preserve">However, the many </w:t>
      </w:r>
      <w:r w:rsidR="00F90CA2">
        <w:rPr>
          <w:rFonts w:ascii="Times New Roman" w:hAnsi="Times New Roman"/>
        </w:rPr>
        <w:t>obstacles</w:t>
      </w:r>
      <w:r w:rsidR="0091079F">
        <w:rPr>
          <w:rFonts w:ascii="Times New Roman" w:hAnsi="Times New Roman"/>
        </w:rPr>
        <w:t xml:space="preserve"> faced by the FIT </w:t>
      </w:r>
      <w:r w:rsidR="009B1DEF">
        <w:rPr>
          <w:rFonts w:ascii="Times New Roman" w:hAnsi="Times New Roman"/>
        </w:rPr>
        <w:t xml:space="preserve">raise the question: will the REL’s FIT allow China to meet its targets for wind-power development?  </w:t>
      </w:r>
      <w:r w:rsidR="000D0454">
        <w:rPr>
          <w:rFonts w:ascii="Times New Roman" w:hAnsi="Times New Roman"/>
        </w:rPr>
        <w:t xml:space="preserve">Of </w:t>
      </w:r>
      <w:r w:rsidR="009C7CD7">
        <w:rPr>
          <w:rFonts w:ascii="Times New Roman" w:hAnsi="Times New Roman"/>
        </w:rPr>
        <w:t>interest</w:t>
      </w:r>
      <w:r w:rsidR="000D0454">
        <w:rPr>
          <w:rFonts w:ascii="Times New Roman" w:hAnsi="Times New Roman"/>
        </w:rPr>
        <w:t xml:space="preserve"> in this discussion are </w:t>
      </w:r>
      <w:r w:rsidR="005F24EB">
        <w:rPr>
          <w:rFonts w:ascii="Times New Roman" w:hAnsi="Times New Roman"/>
        </w:rPr>
        <w:t xml:space="preserve">the history and </w:t>
      </w:r>
      <w:r w:rsidR="00B765CB">
        <w:rPr>
          <w:rFonts w:ascii="Times New Roman" w:hAnsi="Times New Roman"/>
        </w:rPr>
        <w:t>structure of the REL</w:t>
      </w:r>
      <w:r w:rsidR="004A7C32">
        <w:rPr>
          <w:rFonts w:ascii="Times New Roman" w:hAnsi="Times New Roman"/>
        </w:rPr>
        <w:t xml:space="preserve"> FIT</w:t>
      </w:r>
      <w:r w:rsidR="00B765CB">
        <w:rPr>
          <w:rFonts w:ascii="Times New Roman" w:hAnsi="Times New Roman"/>
        </w:rPr>
        <w:t xml:space="preserve">, in addition to </w:t>
      </w:r>
      <w:r w:rsidR="004A7C32">
        <w:rPr>
          <w:rFonts w:ascii="Times New Roman" w:hAnsi="Times New Roman"/>
        </w:rPr>
        <w:t>difficulties encountered in the law’s enforcement.  Two case s</w:t>
      </w:r>
      <w:r w:rsidR="00C16C2B">
        <w:rPr>
          <w:rFonts w:ascii="Times New Roman" w:hAnsi="Times New Roman"/>
        </w:rPr>
        <w:t xml:space="preserve">tudies illustrate </w:t>
      </w:r>
      <w:r w:rsidR="00DC239F">
        <w:rPr>
          <w:rFonts w:ascii="Times New Roman" w:hAnsi="Times New Roman"/>
        </w:rPr>
        <w:t>instances where the REL has proven both highly successful and intensely problematic in its execution</w:t>
      </w:r>
      <w:r w:rsidR="004A7C32">
        <w:rPr>
          <w:rFonts w:ascii="Times New Roman" w:hAnsi="Times New Roman"/>
        </w:rPr>
        <w:t xml:space="preserve">.  Also of interest are other incentive mechanisms for renewable energy development that exist, or may exist in the future, in tandem with the FIT.  These parallel mechanisms </w:t>
      </w:r>
      <w:r w:rsidR="005441CC">
        <w:rPr>
          <w:rFonts w:ascii="Times New Roman" w:hAnsi="Times New Roman"/>
        </w:rPr>
        <w:t>comprise</w:t>
      </w:r>
      <w:r w:rsidR="004A7C32">
        <w:rPr>
          <w:rFonts w:ascii="Times New Roman" w:hAnsi="Times New Roman"/>
        </w:rPr>
        <w:t xml:space="preserve"> the </w:t>
      </w:r>
      <w:r w:rsidR="00706E22">
        <w:rPr>
          <w:rFonts w:ascii="Times New Roman" w:hAnsi="Times New Roman"/>
        </w:rPr>
        <w:t xml:space="preserve">Kyoto Protocol’s Clean Development Mechanism and a recently </w:t>
      </w:r>
      <w:r w:rsidR="00F90CA2">
        <w:rPr>
          <w:rFonts w:ascii="Times New Roman" w:hAnsi="Times New Roman"/>
        </w:rPr>
        <w:t>projected</w:t>
      </w:r>
      <w:r w:rsidR="00706E22">
        <w:rPr>
          <w:rFonts w:ascii="Times New Roman" w:hAnsi="Times New Roman"/>
        </w:rPr>
        <w:t xml:space="preserve"> renewable energy quota. </w:t>
      </w:r>
    </w:p>
    <w:p w:rsidR="00D22DFC" w:rsidRPr="005441CC" w:rsidRDefault="00D22DFC" w:rsidP="004C34E6">
      <w:pPr>
        <w:spacing w:line="480" w:lineRule="auto"/>
        <w:rPr>
          <w:rFonts w:ascii="Times New Roman" w:hAnsi="Times New Roman"/>
        </w:rPr>
      </w:pPr>
    </w:p>
    <w:p w:rsidR="00CA2EF3" w:rsidRPr="00CA2EF3" w:rsidRDefault="00CA2EF3" w:rsidP="004C34E6">
      <w:pPr>
        <w:spacing w:line="480" w:lineRule="auto"/>
        <w:rPr>
          <w:rFonts w:ascii="Times New Roman" w:hAnsi="Times New Roman"/>
          <w:u w:val="single"/>
        </w:rPr>
      </w:pPr>
      <w:r>
        <w:rPr>
          <w:rFonts w:ascii="Times New Roman" w:hAnsi="Times New Roman"/>
          <w:u w:val="single"/>
        </w:rPr>
        <w:t>Introduction:</w:t>
      </w:r>
    </w:p>
    <w:p w:rsidR="004E3A13" w:rsidRDefault="004C34E6" w:rsidP="004C34E6">
      <w:pPr>
        <w:spacing w:line="480" w:lineRule="auto"/>
        <w:rPr>
          <w:rFonts w:ascii="Times New Roman" w:hAnsi="Times New Roman"/>
        </w:rPr>
      </w:pPr>
      <w:r>
        <w:rPr>
          <w:rFonts w:ascii="Times New Roman" w:hAnsi="Times New Roman"/>
        </w:rPr>
        <w:tab/>
        <w:t xml:space="preserve">China’s rapid economic growth in recent decades has been accompanied by a correspondingly rapid rise in energy demand.  In particular, China’s large-scale electricity </w:t>
      </w:r>
      <w:r>
        <w:rPr>
          <w:rFonts w:ascii="Times New Roman" w:hAnsi="Times New Roman"/>
        </w:rPr>
        <w:lastRenderedPageBreak/>
        <w:t>production is closely wedded to national trends in economic growth.  China’s electrical sector is carbon-intensive, with coal-fired plants providing most of the overall load.  China’s government recognizes the domestic and international environmental effects of such large-scale use of fossil fuels, and in response has established policies to encourage the development of low-carbon renewable energy sources.  Wind power is a favored renewable source, and policies are now in place to provide new wind producers with adequate market and infrastructure access</w:t>
      </w:r>
      <w:r w:rsidR="005611E2">
        <w:rPr>
          <w:rFonts w:ascii="Times New Roman" w:hAnsi="Times New Roman"/>
        </w:rPr>
        <w:t xml:space="preserve">.  </w:t>
      </w:r>
      <w:r w:rsidR="0062032C">
        <w:rPr>
          <w:rFonts w:ascii="Times New Roman" w:hAnsi="Times New Roman"/>
        </w:rPr>
        <w:t xml:space="preserve">Working with the encouragement of the Central Government, over the past decade developers have increased the role of wind generation in China’s energy mix </w:t>
      </w:r>
      <w:r w:rsidR="008C4FE7">
        <w:rPr>
          <w:rFonts w:ascii="Times New Roman" w:hAnsi="Times New Roman"/>
        </w:rPr>
        <w:t>at a startling rate</w:t>
      </w:r>
      <w:r>
        <w:rPr>
          <w:rFonts w:ascii="Times New Roman" w:hAnsi="Times New Roman"/>
        </w:rPr>
        <w:t xml:space="preserve">.  </w:t>
      </w:r>
      <w:r w:rsidR="005214F0">
        <w:rPr>
          <w:rFonts w:ascii="Times New Roman" w:hAnsi="Times New Roman"/>
        </w:rPr>
        <w:t>Moreover, t</w:t>
      </w:r>
      <w:r w:rsidR="005611E2">
        <w:rPr>
          <w:rFonts w:ascii="Times New Roman" w:hAnsi="Times New Roman"/>
        </w:rPr>
        <w:t>he Chi</w:t>
      </w:r>
      <w:r w:rsidR="005214F0">
        <w:rPr>
          <w:rFonts w:ascii="Times New Roman" w:hAnsi="Times New Roman"/>
        </w:rPr>
        <w:t xml:space="preserve">nese government has established goals for the future and continuing role of wind-generation that call for the long-term continuation of </w:t>
      </w:r>
      <w:r w:rsidR="005D69A6">
        <w:rPr>
          <w:rFonts w:ascii="Times New Roman" w:hAnsi="Times New Roman"/>
        </w:rPr>
        <w:t xml:space="preserve">current trends in wind power development.  </w:t>
      </w:r>
      <w:r w:rsidR="00386C8C">
        <w:rPr>
          <w:rFonts w:ascii="Times New Roman" w:hAnsi="Times New Roman"/>
        </w:rPr>
        <w:t xml:space="preserve">The questions, then, are </w:t>
      </w:r>
      <w:r w:rsidR="002829A4">
        <w:rPr>
          <w:rFonts w:ascii="Times New Roman" w:hAnsi="Times New Roman"/>
        </w:rPr>
        <w:t xml:space="preserve">to what policies or domestic and international mechanisms does Chinese wind power owe its sudden growth, and whether those mechanisms will be enough to ensure that the Chinese wind industry meets state-set targets in the future.  </w:t>
      </w:r>
    </w:p>
    <w:p w:rsidR="007B27D8" w:rsidRDefault="00E718AA" w:rsidP="004C34E6">
      <w:pPr>
        <w:spacing w:line="480" w:lineRule="auto"/>
        <w:rPr>
          <w:rFonts w:ascii="Times New Roman" w:hAnsi="Times New Roman"/>
        </w:rPr>
      </w:pPr>
      <w:r>
        <w:rPr>
          <w:rFonts w:ascii="Times New Roman" w:hAnsi="Times New Roman"/>
        </w:rPr>
        <w:tab/>
        <w:t xml:space="preserve">This study </w:t>
      </w:r>
      <w:r w:rsidR="009C4848">
        <w:rPr>
          <w:rFonts w:ascii="Times New Roman" w:hAnsi="Times New Roman"/>
        </w:rPr>
        <w:t>comprises an analysis of</w:t>
      </w:r>
      <w:r w:rsidR="007667C4">
        <w:rPr>
          <w:rFonts w:ascii="Times New Roman" w:hAnsi="Times New Roman"/>
        </w:rPr>
        <w:t xml:space="preserve"> China’s feed</w:t>
      </w:r>
      <w:r w:rsidR="00914163">
        <w:rPr>
          <w:rFonts w:ascii="Times New Roman" w:hAnsi="Times New Roman"/>
        </w:rPr>
        <w:t>-in tariff (FIT) regime</w:t>
      </w:r>
      <w:r w:rsidR="00A57597">
        <w:rPr>
          <w:rFonts w:ascii="Times New Roman" w:hAnsi="Times New Roman"/>
        </w:rPr>
        <w:t>, which is primarily derived from the 2009 amended Renewable Energy Law</w:t>
      </w:r>
      <w:r w:rsidR="00914163">
        <w:rPr>
          <w:rFonts w:ascii="Times New Roman" w:hAnsi="Times New Roman"/>
        </w:rPr>
        <w:t xml:space="preserve">.  </w:t>
      </w:r>
      <w:r w:rsidR="00C40EAD">
        <w:rPr>
          <w:rFonts w:ascii="Times New Roman" w:hAnsi="Times New Roman"/>
        </w:rPr>
        <w:t>Our</w:t>
      </w:r>
      <w:r w:rsidR="00A132BB">
        <w:rPr>
          <w:rFonts w:ascii="Times New Roman" w:hAnsi="Times New Roman"/>
        </w:rPr>
        <w:t xml:space="preserve"> central research question is whether China’s FIT </w:t>
      </w:r>
      <w:r w:rsidR="00AA0EBD">
        <w:rPr>
          <w:rFonts w:ascii="Times New Roman" w:hAnsi="Times New Roman"/>
        </w:rPr>
        <w:t xml:space="preserve">will prove </w:t>
      </w:r>
      <w:r w:rsidR="005E46C7">
        <w:rPr>
          <w:rFonts w:ascii="Times New Roman" w:hAnsi="Times New Roman"/>
        </w:rPr>
        <w:t>sufficient</w:t>
      </w:r>
      <w:r w:rsidR="00AA0EBD">
        <w:rPr>
          <w:rFonts w:ascii="Times New Roman" w:hAnsi="Times New Roman"/>
        </w:rPr>
        <w:t xml:space="preserve">, by itself or in combination with </w:t>
      </w:r>
      <w:r w:rsidR="003B2372">
        <w:rPr>
          <w:rFonts w:ascii="Times New Roman" w:hAnsi="Times New Roman"/>
        </w:rPr>
        <w:t xml:space="preserve">other </w:t>
      </w:r>
      <w:r w:rsidR="005E46C7">
        <w:rPr>
          <w:rFonts w:ascii="Times New Roman" w:hAnsi="Times New Roman"/>
        </w:rPr>
        <w:t xml:space="preserve">programs, to </w:t>
      </w:r>
      <w:r w:rsidR="006E0242">
        <w:rPr>
          <w:rFonts w:ascii="Times New Roman" w:hAnsi="Times New Roman"/>
        </w:rPr>
        <w:t>support</w:t>
      </w:r>
      <w:r w:rsidR="00AE49B7">
        <w:rPr>
          <w:rFonts w:ascii="Times New Roman" w:hAnsi="Times New Roman"/>
        </w:rPr>
        <w:t xml:space="preserve"> w</w:t>
      </w:r>
      <w:r w:rsidR="00A71AF8">
        <w:rPr>
          <w:rFonts w:ascii="Times New Roman" w:hAnsi="Times New Roman"/>
        </w:rPr>
        <w:t xml:space="preserve">ind-generation development on </w:t>
      </w:r>
      <w:r w:rsidR="004526EC">
        <w:rPr>
          <w:rFonts w:ascii="Times New Roman" w:hAnsi="Times New Roman"/>
        </w:rPr>
        <w:t>the</w:t>
      </w:r>
      <w:r w:rsidR="00A71AF8">
        <w:rPr>
          <w:rFonts w:ascii="Times New Roman" w:hAnsi="Times New Roman"/>
        </w:rPr>
        <w:t xml:space="preserve"> scale required by central government </w:t>
      </w:r>
      <w:r w:rsidR="001970CC">
        <w:rPr>
          <w:rFonts w:ascii="Times New Roman" w:hAnsi="Times New Roman"/>
        </w:rPr>
        <w:t xml:space="preserve">projections.  </w:t>
      </w:r>
      <w:r w:rsidR="00F13B41">
        <w:rPr>
          <w:rFonts w:ascii="Times New Roman" w:hAnsi="Times New Roman"/>
        </w:rPr>
        <w:t xml:space="preserve">We begin with a synthesis of </w:t>
      </w:r>
      <w:r w:rsidR="0008019A">
        <w:rPr>
          <w:rFonts w:ascii="Times New Roman" w:hAnsi="Times New Roman"/>
        </w:rPr>
        <w:t>relevant literature</w:t>
      </w:r>
      <w:r w:rsidR="00384C07">
        <w:rPr>
          <w:rFonts w:ascii="Times New Roman" w:hAnsi="Times New Roman"/>
        </w:rPr>
        <w:t xml:space="preserve">, mostly English-language, detailing the development of China’s FIT over roughly the past decade.  </w:t>
      </w:r>
      <w:r w:rsidR="00020E16">
        <w:rPr>
          <w:rFonts w:ascii="Times New Roman" w:hAnsi="Times New Roman"/>
        </w:rPr>
        <w:t xml:space="preserve">In our discussion of </w:t>
      </w:r>
      <w:r w:rsidR="00210220">
        <w:rPr>
          <w:rFonts w:ascii="Times New Roman" w:hAnsi="Times New Roman"/>
        </w:rPr>
        <w:t xml:space="preserve">the challenges facing the FIT regime </w:t>
      </w:r>
      <w:r w:rsidR="009E5055">
        <w:rPr>
          <w:rFonts w:ascii="Times New Roman" w:hAnsi="Times New Roman"/>
        </w:rPr>
        <w:t xml:space="preserve">we also rely in part on interviews conducted with developers and regulators in Beijing in December, 2011.  </w:t>
      </w:r>
      <w:r w:rsidR="00FD4287">
        <w:rPr>
          <w:rFonts w:ascii="Times New Roman" w:hAnsi="Times New Roman"/>
        </w:rPr>
        <w:t>T</w:t>
      </w:r>
      <w:r w:rsidR="00014E3C">
        <w:rPr>
          <w:rFonts w:ascii="Times New Roman" w:hAnsi="Times New Roman"/>
        </w:rPr>
        <w:t xml:space="preserve">hose interviews also inform our </w:t>
      </w:r>
      <w:r w:rsidR="00452BE7">
        <w:rPr>
          <w:rFonts w:ascii="Times New Roman" w:hAnsi="Times New Roman"/>
        </w:rPr>
        <w:t xml:space="preserve">discussion of </w:t>
      </w:r>
      <w:r w:rsidR="000E6638">
        <w:rPr>
          <w:rFonts w:ascii="Times New Roman" w:hAnsi="Times New Roman"/>
        </w:rPr>
        <w:t xml:space="preserve">other </w:t>
      </w:r>
      <w:r w:rsidR="009D7791">
        <w:rPr>
          <w:rFonts w:ascii="Times New Roman" w:hAnsi="Times New Roman"/>
        </w:rPr>
        <w:t xml:space="preserve">policy measures </w:t>
      </w:r>
      <w:r w:rsidR="00FD4287">
        <w:rPr>
          <w:rFonts w:ascii="Times New Roman" w:hAnsi="Times New Roman"/>
        </w:rPr>
        <w:t>related to China’s renewable energy development</w:t>
      </w:r>
      <w:r w:rsidR="007B27D8">
        <w:rPr>
          <w:rFonts w:ascii="Times New Roman" w:hAnsi="Times New Roman"/>
        </w:rPr>
        <w:t xml:space="preserve">, and the present and likely future relationships between those measures and the FIT.  </w:t>
      </w:r>
      <w:r w:rsidR="00997FE2">
        <w:rPr>
          <w:rFonts w:ascii="Times New Roman" w:hAnsi="Times New Roman"/>
        </w:rPr>
        <w:t xml:space="preserve">Through a case study on wind </w:t>
      </w:r>
      <w:r w:rsidR="00997FE2">
        <w:rPr>
          <w:rFonts w:ascii="Times New Roman" w:hAnsi="Times New Roman"/>
        </w:rPr>
        <w:lastRenderedPageBreak/>
        <w:t xml:space="preserve">development in the Inner Mongolia Autonomous </w:t>
      </w:r>
      <w:r w:rsidR="00B8776C">
        <w:rPr>
          <w:rFonts w:ascii="Times New Roman" w:hAnsi="Times New Roman"/>
        </w:rPr>
        <w:t xml:space="preserve">Region (IMAR), </w:t>
      </w:r>
      <w:r w:rsidR="00602420">
        <w:rPr>
          <w:rFonts w:ascii="Times New Roman" w:hAnsi="Times New Roman"/>
        </w:rPr>
        <w:t xml:space="preserve">we </w:t>
      </w:r>
      <w:r w:rsidR="005E216E">
        <w:rPr>
          <w:rFonts w:ascii="Times New Roman" w:hAnsi="Times New Roman"/>
        </w:rPr>
        <w:t>discus</w:t>
      </w:r>
      <w:r w:rsidR="001B156D">
        <w:rPr>
          <w:rFonts w:ascii="Times New Roman" w:hAnsi="Times New Roman"/>
        </w:rPr>
        <w:t xml:space="preserve">s the historical development of China’s wind power industry and the </w:t>
      </w:r>
      <w:r w:rsidR="001D72FD">
        <w:rPr>
          <w:rFonts w:ascii="Times New Roman" w:hAnsi="Times New Roman"/>
        </w:rPr>
        <w:t>role play</w:t>
      </w:r>
      <w:r w:rsidR="002C1593">
        <w:rPr>
          <w:rFonts w:ascii="Times New Roman" w:hAnsi="Times New Roman"/>
        </w:rPr>
        <w:t xml:space="preserve">ed in this process by the FIT.  Another </w:t>
      </w:r>
      <w:r w:rsidR="0047637D">
        <w:rPr>
          <w:rFonts w:ascii="Times New Roman" w:hAnsi="Times New Roman"/>
        </w:rPr>
        <w:t xml:space="preserve">case study, focused on wind power development in Gansu province, </w:t>
      </w:r>
      <w:r w:rsidR="00BC136E">
        <w:rPr>
          <w:rFonts w:ascii="Times New Roman" w:hAnsi="Times New Roman"/>
        </w:rPr>
        <w:t xml:space="preserve">allows us to focus more directly on </w:t>
      </w:r>
      <w:r w:rsidR="00877289">
        <w:rPr>
          <w:rFonts w:ascii="Times New Roman" w:hAnsi="Times New Roman"/>
        </w:rPr>
        <w:t>the wind generation industry’s particularly fast gro</w:t>
      </w:r>
      <w:r w:rsidR="00986B6B">
        <w:rPr>
          <w:rFonts w:ascii="Times New Roman" w:hAnsi="Times New Roman"/>
        </w:rPr>
        <w:t>wth just in the past few years.  Here, we discuss the practical implications of such rapid growt</w:t>
      </w:r>
      <w:r w:rsidR="000D0934">
        <w:rPr>
          <w:rFonts w:ascii="Times New Roman" w:hAnsi="Times New Roman"/>
        </w:rPr>
        <w:t>h, especially in light of the projected demands established by policy-makers</w:t>
      </w:r>
      <w:r w:rsidR="00073B75">
        <w:rPr>
          <w:rFonts w:ascii="Times New Roman" w:hAnsi="Times New Roman"/>
        </w:rPr>
        <w:t>, in addition to the shifts in law and policy associated with that growth</w:t>
      </w:r>
      <w:r w:rsidR="000D0934">
        <w:rPr>
          <w:rFonts w:ascii="Times New Roman" w:hAnsi="Times New Roman"/>
        </w:rPr>
        <w:t xml:space="preserve">.  </w:t>
      </w:r>
      <w:r w:rsidR="005C4C3B">
        <w:rPr>
          <w:rFonts w:ascii="Times New Roman" w:hAnsi="Times New Roman"/>
        </w:rPr>
        <w:t xml:space="preserve">Finally, we conclude with a discussion of lessons learned and directions for further research.  </w:t>
      </w:r>
    </w:p>
    <w:p w:rsidR="000A3285" w:rsidRDefault="000A3285" w:rsidP="007C442F">
      <w:pPr>
        <w:spacing w:line="480" w:lineRule="auto"/>
        <w:rPr>
          <w:rFonts w:ascii="Times New Roman" w:hAnsi="Times New Roman"/>
        </w:rPr>
      </w:pPr>
    </w:p>
    <w:p w:rsidR="002A327D" w:rsidRDefault="002A327D" w:rsidP="002A327D">
      <w:pPr>
        <w:spacing w:line="480" w:lineRule="auto"/>
        <w:rPr>
          <w:rFonts w:ascii="Times New Roman" w:hAnsi="Times New Roman"/>
        </w:rPr>
      </w:pPr>
      <w:r>
        <w:rPr>
          <w:rFonts w:ascii="Times New Roman" w:hAnsi="Times New Roman"/>
        </w:rPr>
        <w:t xml:space="preserve">I.  </w:t>
      </w:r>
      <w:r w:rsidRPr="00701A4E">
        <w:rPr>
          <w:rFonts w:ascii="Times New Roman" w:hAnsi="Times New Roman"/>
          <w:u w:val="single"/>
        </w:rPr>
        <w:t>The Growth of</w:t>
      </w:r>
      <w:r>
        <w:rPr>
          <w:rFonts w:ascii="Times New Roman" w:hAnsi="Times New Roman"/>
        </w:rPr>
        <w:t xml:space="preserve"> </w:t>
      </w:r>
      <w:r w:rsidRPr="00701A4E">
        <w:rPr>
          <w:rFonts w:ascii="Times New Roman" w:hAnsi="Times New Roman"/>
          <w:u w:val="single"/>
        </w:rPr>
        <w:t>China’s Coal-Intensive Electricity Sector and its Environmental Impact</w:t>
      </w:r>
      <w:r>
        <w:rPr>
          <w:rFonts w:ascii="Times New Roman" w:hAnsi="Times New Roman"/>
        </w:rPr>
        <w:t xml:space="preserve">. </w:t>
      </w:r>
    </w:p>
    <w:p w:rsidR="002A327D" w:rsidRDefault="002A327D" w:rsidP="002A327D">
      <w:pPr>
        <w:spacing w:line="480" w:lineRule="auto"/>
        <w:rPr>
          <w:rFonts w:ascii="Times New Roman" w:hAnsi="Times New Roman"/>
        </w:rPr>
      </w:pPr>
      <w:r>
        <w:rPr>
          <w:rFonts w:ascii="Times New Roman" w:hAnsi="Times New Roman"/>
        </w:rPr>
        <w:tab/>
        <w:t>In the years from 2003 to 2008 China’s economy experienced double-digit growth rates, and slowed only moderately in the wake of the global fiscal crisis.</w:t>
      </w:r>
      <w:r>
        <w:rPr>
          <w:rStyle w:val="FootnoteReference"/>
          <w:rFonts w:ascii="Times New Roman" w:hAnsi="Times New Roman"/>
        </w:rPr>
        <w:footnoteReference w:id="1"/>
      </w:r>
      <w:r>
        <w:rPr>
          <w:rFonts w:ascii="Times New Roman" w:hAnsi="Times New Roman"/>
        </w:rPr>
        <w:t xml:space="preserve">  Today, economic growth in China remains significant, even if more moderate overall.  In the first two quarters of 2011, economic growth was held to 9.7% and 9.6%, largely supported by an 11% growth in industrial production.</w:t>
      </w:r>
      <w:r>
        <w:rPr>
          <w:rStyle w:val="FootnoteReference"/>
          <w:rFonts w:ascii="Times New Roman" w:hAnsi="Times New Roman"/>
        </w:rPr>
        <w:footnoteReference w:id="2"/>
      </w:r>
      <w:r>
        <w:rPr>
          <w:rFonts w:ascii="Times New Roman" w:hAnsi="Times New Roman"/>
        </w:rPr>
        <w:t xml:space="preserve">  The importance of industry in contributing to China’s overall economic growth helps to illustrate the connection between economic development and increased energy demand.  In 2000, total energy demand in China was estimated at 1,108 million tons of oil equivalent (</w:t>
      </w:r>
      <w:proofErr w:type="spellStart"/>
      <w:r>
        <w:rPr>
          <w:rFonts w:ascii="Times New Roman" w:hAnsi="Times New Roman"/>
        </w:rPr>
        <w:t>Mtoe</w:t>
      </w:r>
      <w:proofErr w:type="spellEnd"/>
      <w:r>
        <w:rPr>
          <w:rFonts w:ascii="Times New Roman" w:hAnsi="Times New Roman"/>
        </w:rPr>
        <w:t xml:space="preserve">), with an increase to 2,271 </w:t>
      </w:r>
      <w:proofErr w:type="spellStart"/>
      <w:r>
        <w:rPr>
          <w:rFonts w:ascii="Times New Roman" w:hAnsi="Times New Roman"/>
        </w:rPr>
        <w:t>Mtoe</w:t>
      </w:r>
      <w:proofErr w:type="spellEnd"/>
      <w:r>
        <w:rPr>
          <w:rFonts w:ascii="Times New Roman" w:hAnsi="Times New Roman"/>
        </w:rPr>
        <w:t xml:space="preserve"> in 2009.</w:t>
      </w:r>
      <w:r>
        <w:rPr>
          <w:rStyle w:val="FootnoteReference"/>
          <w:rFonts w:ascii="Times New Roman" w:hAnsi="Times New Roman"/>
        </w:rPr>
        <w:footnoteReference w:id="3"/>
      </w:r>
      <w:r>
        <w:rPr>
          <w:rFonts w:ascii="Times New Roman" w:hAnsi="Times New Roman"/>
        </w:rPr>
        <w:t xml:space="preserve">  In the same timeframe, energy demand in the United States decreased from 2,270 </w:t>
      </w:r>
      <w:proofErr w:type="spellStart"/>
      <w:r>
        <w:rPr>
          <w:rFonts w:ascii="Times New Roman" w:hAnsi="Times New Roman"/>
        </w:rPr>
        <w:t>Mtoe</w:t>
      </w:r>
      <w:proofErr w:type="spellEnd"/>
      <w:r>
        <w:rPr>
          <w:rFonts w:ascii="Times New Roman" w:hAnsi="Times New Roman"/>
        </w:rPr>
        <w:t xml:space="preserve"> to 2,160 </w:t>
      </w:r>
      <w:proofErr w:type="spellStart"/>
      <w:r>
        <w:rPr>
          <w:rFonts w:ascii="Times New Roman" w:hAnsi="Times New Roman"/>
        </w:rPr>
        <w:t>Mtoe</w:t>
      </w:r>
      <w:proofErr w:type="spellEnd"/>
      <w:r>
        <w:rPr>
          <w:rFonts w:ascii="Times New Roman" w:hAnsi="Times New Roman"/>
        </w:rPr>
        <w:t>.</w:t>
      </w:r>
      <w:r>
        <w:rPr>
          <w:rStyle w:val="FootnoteReference"/>
          <w:rFonts w:ascii="Times New Roman" w:hAnsi="Times New Roman"/>
        </w:rPr>
        <w:footnoteReference w:id="4"/>
      </w:r>
      <w:r>
        <w:rPr>
          <w:rFonts w:ascii="Times New Roman" w:hAnsi="Times New Roman"/>
        </w:rPr>
        <w:t xml:space="preserve">  This trend is expected to continue.  China is now the world’s largest energy consumer, and in IEA Outlook scenarios it is projected </w:t>
      </w:r>
      <w:r>
        <w:rPr>
          <w:rFonts w:ascii="Times New Roman" w:hAnsi="Times New Roman"/>
        </w:rPr>
        <w:lastRenderedPageBreak/>
        <w:t>to consume 70% more energy than the United States by 2035, and to account for 30% of global growth in energy demand between 2009 and 2035.</w:t>
      </w:r>
      <w:r>
        <w:rPr>
          <w:rStyle w:val="FootnoteReference"/>
          <w:rFonts w:ascii="Times New Roman" w:hAnsi="Times New Roman"/>
        </w:rPr>
        <w:footnoteReference w:id="5"/>
      </w:r>
      <w:r>
        <w:rPr>
          <w:rFonts w:ascii="Times New Roman" w:hAnsi="Times New Roman"/>
        </w:rPr>
        <w:t xml:space="preserve">  </w:t>
      </w:r>
    </w:p>
    <w:p w:rsidR="002A327D" w:rsidRDefault="002A327D" w:rsidP="002A327D">
      <w:pPr>
        <w:spacing w:line="480" w:lineRule="auto"/>
        <w:rPr>
          <w:rFonts w:ascii="Times New Roman" w:hAnsi="Times New Roman"/>
        </w:rPr>
      </w:pPr>
      <w:r>
        <w:rPr>
          <w:rFonts w:ascii="Times New Roman" w:hAnsi="Times New Roman"/>
        </w:rPr>
        <w:tab/>
        <w:t xml:space="preserve">Historically, electricity production accounts for the bulk of China’s energy sector.  In 2009 China’s electricity demand </w:t>
      </w:r>
      <w:proofErr w:type="gramStart"/>
      <w:r>
        <w:rPr>
          <w:rFonts w:ascii="Times New Roman" w:hAnsi="Times New Roman"/>
        </w:rPr>
        <w:t>rose</w:t>
      </w:r>
      <w:proofErr w:type="gramEnd"/>
      <w:r>
        <w:rPr>
          <w:rFonts w:ascii="Times New Roman" w:hAnsi="Times New Roman"/>
        </w:rPr>
        <w:t xml:space="preserve"> to 3,643 terawatt hours (</w:t>
      </w:r>
      <w:proofErr w:type="spellStart"/>
      <w:r>
        <w:rPr>
          <w:rFonts w:ascii="Times New Roman" w:hAnsi="Times New Roman"/>
        </w:rPr>
        <w:t>TWh</w:t>
      </w:r>
      <w:proofErr w:type="spellEnd"/>
      <w:r>
        <w:rPr>
          <w:rFonts w:ascii="Times New Roman" w:hAnsi="Times New Roman"/>
        </w:rPr>
        <w:t>), marking a 6% increase from the previous year and representing a demand 3.4 times that experienced in 2000.</w:t>
      </w:r>
      <w:r>
        <w:rPr>
          <w:rStyle w:val="FootnoteReference"/>
          <w:rFonts w:ascii="Times New Roman" w:hAnsi="Times New Roman"/>
        </w:rPr>
        <w:footnoteReference w:id="6"/>
      </w:r>
      <w:r>
        <w:rPr>
          <w:rFonts w:ascii="Times New Roman" w:hAnsi="Times New Roman"/>
        </w:rPr>
        <w:t xml:space="preserve">  Industry constitutes the largest consumer of electricity in China, accounting for more than 70% of overall demand.</w:t>
      </w:r>
      <w:r>
        <w:rPr>
          <w:rStyle w:val="FootnoteReference"/>
          <w:rFonts w:ascii="Times New Roman" w:hAnsi="Times New Roman"/>
        </w:rPr>
        <w:footnoteReference w:id="7"/>
      </w:r>
      <w:r>
        <w:rPr>
          <w:rFonts w:ascii="Times New Roman" w:hAnsi="Times New Roman"/>
        </w:rPr>
        <w:t xml:space="preserve">  As of 2009, heavy industry, which requires an especially high system load factor, accounted for 83% of industrial electricity demand.</w:t>
      </w:r>
      <w:r>
        <w:rPr>
          <w:rStyle w:val="FootnoteReference"/>
          <w:rFonts w:ascii="Times New Roman" w:hAnsi="Times New Roman"/>
        </w:rPr>
        <w:footnoteReference w:id="8"/>
      </w:r>
      <w:r>
        <w:rPr>
          <w:rFonts w:ascii="Times New Roman" w:hAnsi="Times New Roman"/>
        </w:rPr>
        <w:t xml:space="preserve">  The high load factor of China’s electricity networks has helped to encourage a reliance on coal-fired thermal generation, which accounted for 78% of the national generation mix in 2009.</w:t>
      </w:r>
      <w:r>
        <w:rPr>
          <w:rStyle w:val="FootnoteReference"/>
          <w:rFonts w:ascii="Times New Roman" w:hAnsi="Times New Roman"/>
        </w:rPr>
        <w:footnoteReference w:id="9"/>
      </w:r>
      <w:r>
        <w:rPr>
          <w:rFonts w:ascii="Times New Roman" w:hAnsi="Times New Roman"/>
        </w:rPr>
        <w:t xml:space="preserve">  </w:t>
      </w:r>
    </w:p>
    <w:p w:rsidR="002A327D" w:rsidRDefault="002A327D" w:rsidP="002A327D">
      <w:pPr>
        <w:spacing w:line="480" w:lineRule="auto"/>
        <w:rPr>
          <w:rFonts w:ascii="Times New Roman" w:hAnsi="Times New Roman"/>
        </w:rPr>
      </w:pPr>
      <w:r>
        <w:rPr>
          <w:rFonts w:ascii="Times New Roman" w:hAnsi="Times New Roman"/>
        </w:rPr>
        <w:tab/>
        <w:t>Electricity production in China is therefore intimately connected both with patterns of economic growth and with the large-scale industrial use of coal and other fossil fuels.  The environmental impact of this system, on both the domestic and international stage, is substantial.  Coal-intensive energy production contributes to China’s high air pollution levels.  Coal combustion results in high ambient levels of particulates, sulfur dioxide and nitrogen oxides in many urban centers, and also contributes to lead, mercury and other heavy metals pollution.</w:t>
      </w:r>
      <w:r>
        <w:rPr>
          <w:rStyle w:val="FootnoteReference"/>
          <w:rFonts w:ascii="Times New Roman" w:hAnsi="Times New Roman"/>
        </w:rPr>
        <w:footnoteReference w:id="10"/>
      </w:r>
      <w:r>
        <w:rPr>
          <w:rFonts w:ascii="Times New Roman" w:hAnsi="Times New Roman"/>
        </w:rPr>
        <w:t xml:space="preserve">  Drawing on information from the World Bank and other independent researchers, a study released by the OECD in 2007 projects that, assuming the continuation of current trends, by 2020 China could lose up to 13% of its GDP in compensating for health problems related to air </w:t>
      </w:r>
      <w:r>
        <w:rPr>
          <w:rFonts w:ascii="Times New Roman" w:hAnsi="Times New Roman"/>
        </w:rPr>
        <w:lastRenderedPageBreak/>
        <w:t>pollution.</w:t>
      </w:r>
      <w:r>
        <w:rPr>
          <w:rStyle w:val="FootnoteReference"/>
          <w:rFonts w:ascii="Times New Roman" w:hAnsi="Times New Roman"/>
        </w:rPr>
        <w:footnoteReference w:id="11"/>
      </w:r>
      <w:r>
        <w:rPr>
          <w:rFonts w:ascii="Times New Roman" w:hAnsi="Times New Roman"/>
        </w:rPr>
        <w:t xml:space="preserve">  Such projected problems could include 600,000 premature deaths per year among the urban population, 20 million cases of respiratory illness per year, and 5.5 million cases of chronic bronchitis.</w:t>
      </w:r>
      <w:r>
        <w:rPr>
          <w:rStyle w:val="FootnoteReference"/>
          <w:rFonts w:ascii="Times New Roman" w:hAnsi="Times New Roman"/>
        </w:rPr>
        <w:footnoteReference w:id="12"/>
      </w:r>
      <w:r>
        <w:rPr>
          <w:rFonts w:ascii="Times New Roman" w:hAnsi="Times New Roman"/>
        </w:rPr>
        <w:t xml:space="preserve">  </w:t>
      </w:r>
    </w:p>
    <w:p w:rsidR="009E59B5" w:rsidRDefault="002A327D" w:rsidP="002A327D">
      <w:pPr>
        <w:spacing w:line="480" w:lineRule="auto"/>
        <w:rPr>
          <w:rFonts w:ascii="Times New Roman" w:hAnsi="Times New Roman"/>
        </w:rPr>
      </w:pPr>
      <w:r>
        <w:rPr>
          <w:rFonts w:ascii="Times New Roman" w:hAnsi="Times New Roman"/>
        </w:rPr>
        <w:tab/>
        <w:t xml:space="preserve">On the International stage, China’s heavy reliance on coal-fired electrical power plants has helped make it the world’s leading source of carbon dioxide and other </w:t>
      </w:r>
      <w:proofErr w:type="spellStart"/>
      <w:r>
        <w:rPr>
          <w:rFonts w:ascii="Times New Roman" w:hAnsi="Times New Roman"/>
        </w:rPr>
        <w:t>green house</w:t>
      </w:r>
      <w:proofErr w:type="spellEnd"/>
      <w:r>
        <w:rPr>
          <w:rFonts w:ascii="Times New Roman" w:hAnsi="Times New Roman"/>
        </w:rPr>
        <w:t xml:space="preserve"> gas (GHG) emissions.  For example, CO2 emissions resulting from China’s industrial sector alone nearly doubled from 2000 to 2007.</w:t>
      </w:r>
      <w:r>
        <w:rPr>
          <w:rStyle w:val="FootnoteReference"/>
          <w:rFonts w:ascii="Times New Roman" w:hAnsi="Times New Roman"/>
        </w:rPr>
        <w:footnoteReference w:id="13"/>
      </w:r>
      <w:r>
        <w:rPr>
          <w:rFonts w:ascii="Times New Roman" w:hAnsi="Times New Roman"/>
        </w:rPr>
        <w:t xml:space="preserve">  In recognition of this trend, the Chinese government </w:t>
      </w:r>
      <w:proofErr w:type="gramStart"/>
      <w:r w:rsidR="00B047E5">
        <w:rPr>
          <w:rFonts w:ascii="Times New Roman" w:hAnsi="Times New Roman"/>
        </w:rPr>
        <w:t>Ratified</w:t>
      </w:r>
      <w:proofErr w:type="gramEnd"/>
      <w:r>
        <w:rPr>
          <w:rFonts w:ascii="Times New Roman" w:hAnsi="Times New Roman"/>
        </w:rPr>
        <w:t xml:space="preserve"> the Kyoto Protocol</w:t>
      </w:r>
      <w:r w:rsidR="009C6282">
        <w:rPr>
          <w:rFonts w:ascii="Times New Roman" w:hAnsi="Times New Roman"/>
        </w:rPr>
        <w:t xml:space="preserve"> to the United Nations Framework Convention on Climate Change</w:t>
      </w:r>
      <w:r>
        <w:rPr>
          <w:rFonts w:ascii="Times New Roman" w:hAnsi="Times New Roman"/>
        </w:rPr>
        <w:t>, following which China committed to voluntary reductions in GHG emissions.</w:t>
      </w:r>
      <w:r w:rsidR="001D4E61">
        <w:rPr>
          <w:rFonts w:ascii="Times New Roman" w:hAnsi="Times New Roman"/>
        </w:rPr>
        <w:t xml:space="preserve">  By </w:t>
      </w:r>
      <w:r w:rsidR="00C3668C">
        <w:rPr>
          <w:rFonts w:ascii="Times New Roman" w:hAnsi="Times New Roman"/>
        </w:rPr>
        <w:t>rati</w:t>
      </w:r>
      <w:r w:rsidR="00C46CEC">
        <w:rPr>
          <w:rFonts w:ascii="Times New Roman" w:hAnsi="Times New Roman"/>
        </w:rPr>
        <w:t>fying the Kyoto Protocol, Chinese industries gained the ability to participate in the UNFCCC Clean Development Mechanism</w:t>
      </w:r>
      <w:r w:rsidR="00080436">
        <w:rPr>
          <w:rFonts w:ascii="Times New Roman" w:hAnsi="Times New Roman"/>
        </w:rPr>
        <w:t xml:space="preserve"> and other </w:t>
      </w:r>
      <w:r w:rsidR="00515927">
        <w:rPr>
          <w:rFonts w:ascii="Times New Roman" w:hAnsi="Times New Roman"/>
        </w:rPr>
        <w:t xml:space="preserve">international </w:t>
      </w:r>
      <w:r w:rsidR="006D0AE4">
        <w:rPr>
          <w:rFonts w:ascii="Times New Roman" w:hAnsi="Times New Roman"/>
        </w:rPr>
        <w:t>programs meant to reduce global carbon emissions</w:t>
      </w:r>
      <w:r w:rsidR="00B64E3C">
        <w:rPr>
          <w:rFonts w:ascii="Times New Roman" w:hAnsi="Times New Roman"/>
        </w:rPr>
        <w:t xml:space="preserve">.  </w:t>
      </w:r>
    </w:p>
    <w:p w:rsidR="009E59B5" w:rsidRDefault="009E59B5" w:rsidP="002A327D">
      <w:pPr>
        <w:spacing w:line="480" w:lineRule="auto"/>
        <w:rPr>
          <w:rFonts w:ascii="Times New Roman" w:hAnsi="Times New Roman"/>
        </w:rPr>
      </w:pPr>
    </w:p>
    <w:p w:rsidR="009E59B5" w:rsidRDefault="009E59B5" w:rsidP="002A327D">
      <w:pPr>
        <w:spacing w:line="480" w:lineRule="auto"/>
        <w:rPr>
          <w:rFonts w:ascii="Times New Roman" w:hAnsi="Times New Roman"/>
        </w:rPr>
      </w:pPr>
      <w:proofErr w:type="gramStart"/>
      <w:r w:rsidRPr="00944892">
        <w:rPr>
          <w:rFonts w:ascii="Times New Roman" w:hAnsi="Times New Roman"/>
          <w:b/>
        </w:rPr>
        <w:t>Table</w:t>
      </w:r>
      <w:r w:rsidR="00EE38D0">
        <w:rPr>
          <w:rFonts w:ascii="Times New Roman" w:hAnsi="Times New Roman"/>
          <w:b/>
        </w:rPr>
        <w:t xml:space="preserve">1 </w:t>
      </w:r>
      <w:r w:rsidRPr="00944892">
        <w:rPr>
          <w:rFonts w:ascii="Times New Roman" w:hAnsi="Times New Roman"/>
          <w:b/>
        </w:rPr>
        <w:t>:</w:t>
      </w:r>
      <w:proofErr w:type="gramEnd"/>
      <w:r w:rsidRPr="00944892">
        <w:rPr>
          <w:rFonts w:ascii="Times New Roman" w:hAnsi="Times New Roman"/>
          <w:b/>
        </w:rPr>
        <w:t xml:space="preserve"> </w:t>
      </w:r>
      <w:r w:rsidR="004E5E28" w:rsidRPr="00944892">
        <w:rPr>
          <w:rFonts w:ascii="Times New Roman" w:hAnsi="Times New Roman"/>
          <w:b/>
        </w:rPr>
        <w:t>Energy Security Data for 2010: China, EU and USA</w:t>
      </w:r>
      <w:r w:rsidR="0013141F">
        <w:rPr>
          <w:rStyle w:val="FootnoteReference"/>
          <w:rFonts w:ascii="Times New Roman" w:hAnsi="Times New Roman"/>
        </w:rPr>
        <w:footnoteReference w:id="14"/>
      </w:r>
    </w:p>
    <w:tbl>
      <w:tblPr>
        <w:tblStyle w:val="TableGrid"/>
        <w:tblW w:w="0" w:type="auto"/>
        <w:tblLook w:val="00BF" w:firstRow="1" w:lastRow="0" w:firstColumn="1" w:lastColumn="0" w:noHBand="0" w:noVBand="0"/>
      </w:tblPr>
      <w:tblGrid>
        <w:gridCol w:w="9572"/>
      </w:tblGrid>
      <w:tr w:rsidR="009E59B5">
        <w:tc>
          <w:tcPr>
            <w:tcW w:w="9572" w:type="dxa"/>
          </w:tcPr>
          <w:tbl>
            <w:tblPr>
              <w:tblStyle w:val="TableGrid"/>
              <w:tblpPr w:leftFromText="180" w:rightFromText="180" w:vertAnchor="page" w:horzAnchor="page" w:tblpX="910" w:tblpY="5"/>
              <w:tblW w:w="9346" w:type="dxa"/>
              <w:tblLook w:val="00BF" w:firstRow="1" w:lastRow="0" w:firstColumn="1" w:lastColumn="0" w:noHBand="0" w:noVBand="0"/>
            </w:tblPr>
            <w:tblGrid>
              <w:gridCol w:w="903"/>
              <w:gridCol w:w="1620"/>
              <w:gridCol w:w="1437"/>
              <w:gridCol w:w="1854"/>
              <w:gridCol w:w="1348"/>
              <w:gridCol w:w="2184"/>
            </w:tblGrid>
            <w:tr w:rsidR="009E59B5" w:rsidRPr="001933AC">
              <w:trPr>
                <w:trHeight w:val="1343"/>
              </w:trPr>
              <w:tc>
                <w:tcPr>
                  <w:tcW w:w="903" w:type="dxa"/>
                </w:tcPr>
                <w:p w:rsidR="009E59B5" w:rsidRPr="001933AC" w:rsidRDefault="009E59B5" w:rsidP="009E59B5">
                  <w:pPr>
                    <w:rPr>
                      <w:sz w:val="20"/>
                    </w:rPr>
                  </w:pPr>
                </w:p>
              </w:tc>
              <w:tc>
                <w:tcPr>
                  <w:tcW w:w="1620" w:type="dxa"/>
                </w:tcPr>
                <w:p w:rsidR="009E59B5" w:rsidRPr="001933AC" w:rsidRDefault="009E59B5" w:rsidP="009E59B5">
                  <w:pPr>
                    <w:rPr>
                      <w:sz w:val="20"/>
                    </w:rPr>
                  </w:pPr>
                  <w:r w:rsidRPr="001933AC">
                    <w:rPr>
                      <w:sz w:val="20"/>
                    </w:rPr>
                    <w:t>Total primary energy supply per capita(</w:t>
                  </w:r>
                  <w:proofErr w:type="spellStart"/>
                  <w:r w:rsidRPr="001933AC">
                    <w:rPr>
                      <w:sz w:val="20"/>
                    </w:rPr>
                    <w:t>ktoe</w:t>
                  </w:r>
                  <w:proofErr w:type="spellEnd"/>
                  <w:r w:rsidRPr="001933AC">
                    <w:rPr>
                      <w:sz w:val="20"/>
                    </w:rPr>
                    <w:t>)</w:t>
                  </w:r>
                </w:p>
              </w:tc>
              <w:tc>
                <w:tcPr>
                  <w:tcW w:w="1437" w:type="dxa"/>
                </w:tcPr>
                <w:p w:rsidR="009E59B5" w:rsidRPr="001933AC" w:rsidRDefault="009E59B5" w:rsidP="009E59B5">
                  <w:pPr>
                    <w:rPr>
                      <w:sz w:val="20"/>
                    </w:rPr>
                  </w:pPr>
                  <w:r>
                    <w:rPr>
                      <w:sz w:val="20"/>
                    </w:rPr>
                    <w:t xml:space="preserve">Share of renewable </w:t>
                  </w:r>
                  <w:proofErr w:type="spellStart"/>
                  <w:r>
                    <w:rPr>
                      <w:sz w:val="20"/>
                    </w:rPr>
                    <w:t>entegy</w:t>
                  </w:r>
                  <w:proofErr w:type="spellEnd"/>
                  <w:r>
                    <w:rPr>
                      <w:sz w:val="20"/>
                    </w:rPr>
                    <w:t xml:space="preserve"> in primary energy supply (%)</w:t>
                  </w:r>
                </w:p>
              </w:tc>
              <w:tc>
                <w:tcPr>
                  <w:tcW w:w="1854" w:type="dxa"/>
                </w:tcPr>
                <w:p w:rsidR="009E59B5" w:rsidRPr="001933AC" w:rsidRDefault="009E59B5" w:rsidP="009E59B5">
                  <w:pPr>
                    <w:rPr>
                      <w:sz w:val="20"/>
                    </w:rPr>
                  </w:pPr>
                  <w:r>
                    <w:rPr>
                      <w:sz w:val="20"/>
                    </w:rPr>
                    <w:t>Energy intensity(</w:t>
                  </w:r>
                  <w:proofErr w:type="spellStart"/>
                  <w:r>
                    <w:rPr>
                      <w:sz w:val="20"/>
                    </w:rPr>
                    <w:t>Btue</w:t>
                  </w:r>
                  <w:proofErr w:type="spellEnd"/>
                  <w:r>
                    <w:rPr>
                      <w:sz w:val="20"/>
                    </w:rPr>
                    <w:t xml:space="preserve"> per year</w:t>
                  </w:r>
                </w:p>
              </w:tc>
              <w:tc>
                <w:tcPr>
                  <w:tcW w:w="1348" w:type="dxa"/>
                </w:tcPr>
                <w:p w:rsidR="009E59B5" w:rsidRPr="001933AC" w:rsidRDefault="009E59B5" w:rsidP="009E59B5">
                  <w:pPr>
                    <w:rPr>
                      <w:sz w:val="20"/>
                    </w:rPr>
                  </w:pPr>
                  <w:r>
                    <w:rPr>
                      <w:sz w:val="20"/>
                    </w:rPr>
                    <w:t>Grid Efficiency (%)</w:t>
                  </w:r>
                </w:p>
              </w:tc>
              <w:tc>
                <w:tcPr>
                  <w:tcW w:w="2184" w:type="dxa"/>
                </w:tcPr>
                <w:p w:rsidR="009E59B5" w:rsidRPr="001933AC" w:rsidRDefault="009E59B5" w:rsidP="009E59B5">
                  <w:pPr>
                    <w:rPr>
                      <w:sz w:val="20"/>
                    </w:rPr>
                  </w:pPr>
                  <w:r>
                    <w:rPr>
                      <w:sz w:val="20"/>
                    </w:rPr>
                    <w:t>Per Capita energy-related carbon emissions(metric tons</w:t>
                  </w:r>
                </w:p>
              </w:tc>
            </w:tr>
            <w:tr w:rsidR="009E59B5" w:rsidRPr="001933AC">
              <w:trPr>
                <w:trHeight w:val="427"/>
              </w:trPr>
              <w:tc>
                <w:tcPr>
                  <w:tcW w:w="903" w:type="dxa"/>
                </w:tcPr>
                <w:p w:rsidR="009E59B5" w:rsidRPr="001933AC" w:rsidRDefault="009E59B5" w:rsidP="009E59B5">
                  <w:pPr>
                    <w:rPr>
                      <w:sz w:val="20"/>
                    </w:rPr>
                  </w:pPr>
                  <w:r>
                    <w:rPr>
                      <w:sz w:val="20"/>
                    </w:rPr>
                    <w:t>China</w:t>
                  </w:r>
                </w:p>
              </w:tc>
              <w:tc>
                <w:tcPr>
                  <w:tcW w:w="1620" w:type="dxa"/>
                </w:tcPr>
                <w:p w:rsidR="009E59B5" w:rsidRPr="001933AC" w:rsidRDefault="009E59B5" w:rsidP="009E59B5">
                  <w:pPr>
                    <w:rPr>
                      <w:sz w:val="20"/>
                    </w:rPr>
                  </w:pPr>
                  <w:r>
                    <w:rPr>
                      <w:sz w:val="20"/>
                    </w:rPr>
                    <w:t>1.6</w:t>
                  </w:r>
                </w:p>
              </w:tc>
              <w:tc>
                <w:tcPr>
                  <w:tcW w:w="1437" w:type="dxa"/>
                </w:tcPr>
                <w:p w:rsidR="009E59B5" w:rsidRPr="001933AC" w:rsidRDefault="009E59B5" w:rsidP="009E59B5">
                  <w:pPr>
                    <w:rPr>
                      <w:sz w:val="20"/>
                    </w:rPr>
                  </w:pPr>
                  <w:r>
                    <w:rPr>
                      <w:sz w:val="20"/>
                    </w:rPr>
                    <w:t>17</w:t>
                  </w:r>
                </w:p>
              </w:tc>
              <w:tc>
                <w:tcPr>
                  <w:tcW w:w="1854" w:type="dxa"/>
                </w:tcPr>
                <w:p w:rsidR="009E59B5" w:rsidRPr="001933AC" w:rsidRDefault="009E59B5" w:rsidP="009E59B5">
                  <w:pPr>
                    <w:rPr>
                      <w:sz w:val="20"/>
                    </w:rPr>
                  </w:pPr>
                  <w:r>
                    <w:rPr>
                      <w:sz w:val="20"/>
                    </w:rPr>
                    <w:t>26,718</w:t>
                  </w:r>
                </w:p>
              </w:tc>
              <w:tc>
                <w:tcPr>
                  <w:tcW w:w="1348" w:type="dxa"/>
                </w:tcPr>
                <w:p w:rsidR="009E59B5" w:rsidRPr="001933AC" w:rsidRDefault="009E59B5" w:rsidP="009E59B5">
                  <w:pPr>
                    <w:rPr>
                      <w:sz w:val="20"/>
                    </w:rPr>
                  </w:pPr>
                  <w:r>
                    <w:rPr>
                      <w:sz w:val="20"/>
                    </w:rPr>
                    <w:t>6</w:t>
                  </w:r>
                </w:p>
              </w:tc>
              <w:tc>
                <w:tcPr>
                  <w:tcW w:w="2184" w:type="dxa"/>
                </w:tcPr>
                <w:p w:rsidR="009E59B5" w:rsidRPr="001933AC" w:rsidRDefault="009E59B5" w:rsidP="009E59B5">
                  <w:pPr>
                    <w:rPr>
                      <w:sz w:val="20"/>
                    </w:rPr>
                  </w:pPr>
                  <w:r>
                    <w:rPr>
                      <w:sz w:val="20"/>
                    </w:rPr>
                    <w:t>4.9</w:t>
                  </w:r>
                </w:p>
              </w:tc>
            </w:tr>
            <w:tr w:rsidR="009E59B5" w:rsidRPr="001933AC">
              <w:trPr>
                <w:trHeight w:val="501"/>
              </w:trPr>
              <w:tc>
                <w:tcPr>
                  <w:tcW w:w="903" w:type="dxa"/>
                </w:tcPr>
                <w:p w:rsidR="009E59B5" w:rsidRPr="001933AC" w:rsidRDefault="009E59B5" w:rsidP="009E59B5">
                  <w:pPr>
                    <w:rPr>
                      <w:sz w:val="20"/>
                    </w:rPr>
                  </w:pPr>
                  <w:r>
                    <w:rPr>
                      <w:sz w:val="20"/>
                    </w:rPr>
                    <w:t>USA</w:t>
                  </w:r>
                </w:p>
              </w:tc>
              <w:tc>
                <w:tcPr>
                  <w:tcW w:w="1620" w:type="dxa"/>
                </w:tcPr>
                <w:p w:rsidR="009E59B5" w:rsidRPr="001933AC" w:rsidRDefault="009E59B5" w:rsidP="009E59B5">
                  <w:pPr>
                    <w:rPr>
                      <w:sz w:val="20"/>
                    </w:rPr>
                  </w:pPr>
                  <w:r>
                    <w:rPr>
                      <w:sz w:val="20"/>
                    </w:rPr>
                    <w:t>7.1</w:t>
                  </w:r>
                </w:p>
              </w:tc>
              <w:tc>
                <w:tcPr>
                  <w:tcW w:w="1437" w:type="dxa"/>
                </w:tcPr>
                <w:p w:rsidR="009E59B5" w:rsidRPr="001933AC" w:rsidRDefault="009E59B5" w:rsidP="009E59B5">
                  <w:pPr>
                    <w:rPr>
                      <w:sz w:val="20"/>
                    </w:rPr>
                  </w:pPr>
                  <w:r>
                    <w:rPr>
                      <w:sz w:val="20"/>
                    </w:rPr>
                    <w:t>11</w:t>
                  </w:r>
                </w:p>
              </w:tc>
              <w:tc>
                <w:tcPr>
                  <w:tcW w:w="1854" w:type="dxa"/>
                </w:tcPr>
                <w:p w:rsidR="009E59B5" w:rsidRPr="001933AC" w:rsidRDefault="009E59B5" w:rsidP="009E59B5">
                  <w:pPr>
                    <w:rPr>
                      <w:sz w:val="20"/>
                    </w:rPr>
                  </w:pPr>
                  <w:r>
                    <w:rPr>
                      <w:sz w:val="20"/>
                    </w:rPr>
                    <w:t>7,280</w:t>
                  </w:r>
                </w:p>
              </w:tc>
              <w:tc>
                <w:tcPr>
                  <w:tcW w:w="1348" w:type="dxa"/>
                </w:tcPr>
                <w:p w:rsidR="009E59B5" w:rsidRPr="001933AC" w:rsidRDefault="009E59B5" w:rsidP="009E59B5">
                  <w:pPr>
                    <w:rPr>
                      <w:sz w:val="20"/>
                    </w:rPr>
                  </w:pPr>
                  <w:r>
                    <w:rPr>
                      <w:sz w:val="20"/>
                    </w:rPr>
                    <w:t>6</w:t>
                  </w:r>
                </w:p>
              </w:tc>
              <w:tc>
                <w:tcPr>
                  <w:tcW w:w="2184" w:type="dxa"/>
                </w:tcPr>
                <w:p w:rsidR="009E59B5" w:rsidRPr="001933AC" w:rsidRDefault="009E59B5" w:rsidP="009E59B5">
                  <w:pPr>
                    <w:rPr>
                      <w:sz w:val="20"/>
                    </w:rPr>
                  </w:pPr>
                  <w:r>
                    <w:rPr>
                      <w:sz w:val="20"/>
                    </w:rPr>
                    <w:t>18.4</w:t>
                  </w:r>
                </w:p>
              </w:tc>
            </w:tr>
            <w:tr w:rsidR="009E59B5" w:rsidRPr="001933AC">
              <w:trPr>
                <w:trHeight w:val="562"/>
              </w:trPr>
              <w:tc>
                <w:tcPr>
                  <w:tcW w:w="903" w:type="dxa"/>
                </w:tcPr>
                <w:p w:rsidR="009E59B5" w:rsidRPr="001933AC" w:rsidRDefault="009E59B5" w:rsidP="009E59B5">
                  <w:pPr>
                    <w:rPr>
                      <w:sz w:val="20"/>
                    </w:rPr>
                  </w:pPr>
                  <w:r>
                    <w:rPr>
                      <w:sz w:val="20"/>
                    </w:rPr>
                    <w:t>EU</w:t>
                  </w:r>
                </w:p>
              </w:tc>
              <w:tc>
                <w:tcPr>
                  <w:tcW w:w="1620" w:type="dxa"/>
                </w:tcPr>
                <w:p w:rsidR="009E59B5" w:rsidRPr="001933AC" w:rsidRDefault="009E59B5" w:rsidP="009E59B5">
                  <w:pPr>
                    <w:rPr>
                      <w:sz w:val="20"/>
                    </w:rPr>
                  </w:pPr>
                  <w:r>
                    <w:rPr>
                      <w:sz w:val="20"/>
                    </w:rPr>
                    <w:t>3.2</w:t>
                  </w:r>
                </w:p>
              </w:tc>
              <w:tc>
                <w:tcPr>
                  <w:tcW w:w="1437" w:type="dxa"/>
                </w:tcPr>
                <w:p w:rsidR="009E59B5" w:rsidRPr="001933AC" w:rsidRDefault="009E59B5" w:rsidP="009E59B5">
                  <w:pPr>
                    <w:rPr>
                      <w:sz w:val="20"/>
                    </w:rPr>
                  </w:pPr>
                  <w:r>
                    <w:rPr>
                      <w:sz w:val="20"/>
                    </w:rPr>
                    <w:t>17</w:t>
                  </w:r>
                </w:p>
              </w:tc>
              <w:tc>
                <w:tcPr>
                  <w:tcW w:w="1854" w:type="dxa"/>
                </w:tcPr>
                <w:p w:rsidR="009E59B5" w:rsidRPr="001933AC" w:rsidRDefault="009E59B5" w:rsidP="009E59B5">
                  <w:pPr>
                    <w:rPr>
                      <w:sz w:val="20"/>
                    </w:rPr>
                  </w:pPr>
                  <w:r>
                    <w:rPr>
                      <w:sz w:val="20"/>
                    </w:rPr>
                    <w:t>5,360</w:t>
                  </w:r>
                </w:p>
              </w:tc>
              <w:tc>
                <w:tcPr>
                  <w:tcW w:w="1348" w:type="dxa"/>
                </w:tcPr>
                <w:p w:rsidR="009E59B5" w:rsidRPr="001933AC" w:rsidRDefault="009E59B5" w:rsidP="009E59B5">
                  <w:pPr>
                    <w:rPr>
                      <w:sz w:val="20"/>
                    </w:rPr>
                  </w:pPr>
                  <w:r>
                    <w:rPr>
                      <w:sz w:val="20"/>
                    </w:rPr>
                    <w:t>0.06</w:t>
                  </w:r>
                </w:p>
              </w:tc>
              <w:tc>
                <w:tcPr>
                  <w:tcW w:w="2184" w:type="dxa"/>
                </w:tcPr>
                <w:p w:rsidR="009E59B5" w:rsidRPr="001933AC" w:rsidRDefault="009E59B5" w:rsidP="009E59B5">
                  <w:pPr>
                    <w:rPr>
                      <w:sz w:val="20"/>
                    </w:rPr>
                  </w:pPr>
                  <w:r>
                    <w:rPr>
                      <w:sz w:val="20"/>
                    </w:rPr>
                    <w:t>7.4</w:t>
                  </w:r>
                </w:p>
              </w:tc>
            </w:tr>
          </w:tbl>
          <w:p w:rsidR="009E59B5" w:rsidRDefault="009E59B5" w:rsidP="002A327D">
            <w:pPr>
              <w:spacing w:line="480" w:lineRule="auto"/>
              <w:rPr>
                <w:rFonts w:ascii="Times New Roman" w:hAnsi="Times New Roman"/>
              </w:rPr>
            </w:pPr>
          </w:p>
        </w:tc>
      </w:tr>
    </w:tbl>
    <w:p w:rsidR="00D50504" w:rsidRDefault="00D50504" w:rsidP="002A327D">
      <w:pPr>
        <w:spacing w:line="480" w:lineRule="auto"/>
        <w:rPr>
          <w:rFonts w:ascii="Times New Roman" w:hAnsi="Times New Roman"/>
        </w:rPr>
      </w:pPr>
    </w:p>
    <w:p w:rsidR="009E59B5" w:rsidRPr="00EE38D0" w:rsidRDefault="00EE38D0" w:rsidP="002A327D">
      <w:pPr>
        <w:spacing w:line="480" w:lineRule="auto"/>
        <w:rPr>
          <w:rFonts w:ascii="Times New Roman" w:hAnsi="Times New Roman"/>
          <w:b/>
        </w:rPr>
      </w:pPr>
      <w:r w:rsidRPr="00EE38D0">
        <w:rPr>
          <w:rFonts w:ascii="Times New Roman" w:hAnsi="Times New Roman"/>
          <w:b/>
        </w:rPr>
        <w:t>Table 2: Sources of Electricity Production in China as of 2009 (</w:t>
      </w:r>
      <w:proofErr w:type="spellStart"/>
      <w:r w:rsidRPr="00EE38D0">
        <w:rPr>
          <w:rFonts w:ascii="Times New Roman" w:hAnsi="Times New Roman"/>
          <w:b/>
        </w:rPr>
        <w:t>GWh</w:t>
      </w:r>
      <w:proofErr w:type="spellEnd"/>
      <w:r w:rsidRPr="00EE38D0">
        <w:rPr>
          <w:rFonts w:ascii="Times New Roman" w:hAnsi="Times New Roman"/>
          <w:b/>
        </w:rPr>
        <w:t>)</w:t>
      </w:r>
      <w:r w:rsidR="00BC4F73">
        <w:rPr>
          <w:rStyle w:val="FootnoteReference"/>
          <w:rFonts w:ascii="Times New Roman" w:hAnsi="Times New Roman"/>
          <w:b/>
        </w:rPr>
        <w:footnoteReference w:id="15"/>
      </w:r>
    </w:p>
    <w:tbl>
      <w:tblPr>
        <w:tblStyle w:val="TableGrid"/>
        <w:tblW w:w="9712" w:type="dxa"/>
        <w:tblLook w:val="00BF" w:firstRow="1" w:lastRow="0" w:firstColumn="1" w:lastColumn="0" w:noHBand="0" w:noVBand="0"/>
      </w:tblPr>
      <w:tblGrid>
        <w:gridCol w:w="1214"/>
        <w:gridCol w:w="1214"/>
        <w:gridCol w:w="1214"/>
        <w:gridCol w:w="1214"/>
        <w:gridCol w:w="1214"/>
        <w:gridCol w:w="1214"/>
        <w:gridCol w:w="1214"/>
        <w:gridCol w:w="1214"/>
      </w:tblGrid>
      <w:tr w:rsidR="00EE38D0" w:rsidRPr="00EE38D0" w:rsidTr="00EE38D0">
        <w:trPr>
          <w:trHeight w:val="687"/>
        </w:trPr>
        <w:tc>
          <w:tcPr>
            <w:tcW w:w="1214" w:type="dxa"/>
          </w:tcPr>
          <w:p w:rsidR="00EE38D0" w:rsidRPr="00EE38D0" w:rsidRDefault="00EE38D0" w:rsidP="00EE38D0">
            <w:pPr>
              <w:rPr>
                <w:rFonts w:asciiTheme="majorHAnsi" w:hAnsiTheme="majorHAnsi"/>
                <w:sz w:val="20"/>
              </w:rPr>
            </w:pPr>
            <w:r w:rsidRPr="00EE38D0">
              <w:rPr>
                <w:rFonts w:asciiTheme="majorHAnsi" w:hAnsiTheme="majorHAnsi"/>
                <w:sz w:val="20"/>
              </w:rPr>
              <w:t>Coal and peat</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Oil</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Gas</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Biofuels</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Nuclear</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Hydro</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Solar PV</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Wind</w:t>
            </w:r>
          </w:p>
        </w:tc>
      </w:tr>
      <w:tr w:rsidR="00EE38D0" w:rsidRPr="00EE38D0" w:rsidTr="00EE38D0">
        <w:trPr>
          <w:trHeight w:val="320"/>
        </w:trPr>
        <w:tc>
          <w:tcPr>
            <w:tcW w:w="1214" w:type="dxa"/>
          </w:tcPr>
          <w:p w:rsidR="00EE38D0" w:rsidRPr="00EE38D0" w:rsidRDefault="00EE38D0" w:rsidP="00EE38D0">
            <w:pPr>
              <w:rPr>
                <w:rFonts w:asciiTheme="majorHAnsi" w:hAnsiTheme="majorHAnsi"/>
                <w:sz w:val="20"/>
              </w:rPr>
            </w:pPr>
            <w:r>
              <w:rPr>
                <w:rFonts w:asciiTheme="majorHAnsi" w:hAnsiTheme="majorHAnsi"/>
                <w:sz w:val="20"/>
              </w:rPr>
              <w:t>2913122</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16494</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50813</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2351</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70134</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615640</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321</w:t>
            </w:r>
          </w:p>
        </w:tc>
        <w:tc>
          <w:tcPr>
            <w:tcW w:w="1214" w:type="dxa"/>
          </w:tcPr>
          <w:p w:rsidR="00EE38D0" w:rsidRPr="00EE38D0" w:rsidRDefault="00EE38D0" w:rsidP="00EE38D0">
            <w:pPr>
              <w:rPr>
                <w:rFonts w:asciiTheme="majorHAnsi" w:hAnsiTheme="majorHAnsi"/>
                <w:sz w:val="20"/>
              </w:rPr>
            </w:pPr>
            <w:r>
              <w:rPr>
                <w:rFonts w:asciiTheme="majorHAnsi" w:hAnsiTheme="majorHAnsi"/>
                <w:sz w:val="20"/>
              </w:rPr>
              <w:t>26900</w:t>
            </w:r>
          </w:p>
        </w:tc>
      </w:tr>
    </w:tbl>
    <w:p w:rsidR="009E59B5" w:rsidRDefault="009E59B5" w:rsidP="002A327D">
      <w:pPr>
        <w:spacing w:line="480" w:lineRule="auto"/>
        <w:rPr>
          <w:rFonts w:ascii="Times New Roman" w:hAnsi="Times New Roman"/>
        </w:rPr>
      </w:pPr>
    </w:p>
    <w:p w:rsidR="00DC3576" w:rsidRDefault="00DC3576" w:rsidP="002A327D">
      <w:pPr>
        <w:spacing w:line="480" w:lineRule="auto"/>
        <w:rPr>
          <w:rFonts w:ascii="Times New Roman" w:hAnsi="Times New Roman"/>
        </w:rPr>
      </w:pPr>
    </w:p>
    <w:p w:rsidR="00DC3576" w:rsidRDefault="00DC3576" w:rsidP="00DC3576">
      <w:pPr>
        <w:spacing w:line="480" w:lineRule="auto"/>
        <w:rPr>
          <w:rFonts w:ascii="Times New Roman" w:hAnsi="Times New Roman"/>
        </w:rPr>
      </w:pPr>
      <w:r>
        <w:rPr>
          <w:rFonts w:ascii="Times New Roman" w:hAnsi="Times New Roman"/>
        </w:rPr>
        <w:t>II</w:t>
      </w:r>
      <w:proofErr w:type="gramStart"/>
      <w:r>
        <w:rPr>
          <w:rFonts w:ascii="Times New Roman" w:hAnsi="Times New Roman"/>
        </w:rPr>
        <w:t xml:space="preserve">.  </w:t>
      </w:r>
      <w:r w:rsidRPr="00A14120">
        <w:rPr>
          <w:rFonts w:ascii="Times New Roman" w:hAnsi="Times New Roman"/>
          <w:u w:val="single"/>
        </w:rPr>
        <w:t>China’s</w:t>
      </w:r>
      <w:proofErr w:type="gramEnd"/>
      <w:r w:rsidRPr="00A14120">
        <w:rPr>
          <w:rFonts w:ascii="Times New Roman" w:hAnsi="Times New Roman"/>
          <w:u w:val="single"/>
        </w:rPr>
        <w:t xml:space="preserve">  Low-Carbon Energy Policy</w:t>
      </w:r>
      <w:r>
        <w:rPr>
          <w:rFonts w:ascii="Times New Roman" w:hAnsi="Times New Roman"/>
        </w:rPr>
        <w:t>.</w:t>
      </w:r>
    </w:p>
    <w:p w:rsidR="00DC3576" w:rsidRDefault="00DC3576" w:rsidP="00DC3576">
      <w:pPr>
        <w:spacing w:line="480" w:lineRule="auto"/>
        <w:rPr>
          <w:rFonts w:ascii="Times New Roman" w:hAnsi="Times New Roman"/>
        </w:rPr>
      </w:pPr>
      <w:r>
        <w:rPr>
          <w:rFonts w:ascii="Times New Roman" w:hAnsi="Times New Roman"/>
        </w:rPr>
        <w:tab/>
        <w:t>China began to address climate change at a policy level beginning in 1988, when the central government first gave the National Development and Reform Commission (NDRC) responsibility for coordinating official positions in then-upcoming international climate talks.</w:t>
      </w:r>
      <w:r>
        <w:rPr>
          <w:rStyle w:val="FootnoteReference"/>
          <w:rFonts w:ascii="Times New Roman" w:hAnsi="Times New Roman"/>
        </w:rPr>
        <w:footnoteReference w:id="16"/>
      </w:r>
      <w:r>
        <w:rPr>
          <w:rFonts w:ascii="Times New Roman" w:hAnsi="Times New Roman"/>
        </w:rPr>
        <w:t xml:space="preserve">  More recently, the Chinese government has begun to look specifically to renewable energy sources as a means of mitigating pollution and GHG emissions.  In 2007, for example, the NDRC released its “National Climate Change </w:t>
      </w:r>
      <w:proofErr w:type="spellStart"/>
      <w:r>
        <w:rPr>
          <w:rFonts w:ascii="Times New Roman" w:hAnsi="Times New Roman"/>
        </w:rPr>
        <w:t>Programme</w:t>
      </w:r>
      <w:proofErr w:type="spellEnd"/>
      <w:r>
        <w:rPr>
          <w:rFonts w:ascii="Times New Roman" w:hAnsi="Times New Roman"/>
        </w:rPr>
        <w:t>,” followed by an affiliated “White Paper” in 2008, which contained specific commitments to renewable energy development as a means of curtailing climate change.</w:t>
      </w:r>
      <w:r>
        <w:rPr>
          <w:rStyle w:val="FootnoteReference"/>
          <w:rFonts w:ascii="Times New Roman" w:hAnsi="Times New Roman"/>
        </w:rPr>
        <w:footnoteReference w:id="17"/>
      </w:r>
      <w:r>
        <w:rPr>
          <w:rFonts w:ascii="Times New Roman" w:hAnsi="Times New Roman"/>
        </w:rPr>
        <w:t xml:space="preserve"> </w:t>
      </w:r>
    </w:p>
    <w:p w:rsidR="00DC3576" w:rsidRDefault="00DC3576" w:rsidP="00DC3576">
      <w:pPr>
        <w:spacing w:line="480" w:lineRule="auto"/>
        <w:rPr>
          <w:rFonts w:ascii="Times New Roman" w:hAnsi="Times New Roman"/>
        </w:rPr>
      </w:pPr>
      <w:r>
        <w:rPr>
          <w:rFonts w:ascii="Times New Roman" w:hAnsi="Times New Roman"/>
        </w:rPr>
        <w:tab/>
        <w:t xml:space="preserve">However, it is the Twelfth Five Year Plan (FYP), adopted by the Chinese government in March </w:t>
      </w:r>
      <w:proofErr w:type="gramStart"/>
      <w:r>
        <w:rPr>
          <w:rFonts w:ascii="Times New Roman" w:hAnsi="Times New Roman"/>
        </w:rPr>
        <w:t>2011, that</w:t>
      </w:r>
      <w:proofErr w:type="gramEnd"/>
      <w:r>
        <w:rPr>
          <w:rFonts w:ascii="Times New Roman" w:hAnsi="Times New Roman"/>
        </w:rPr>
        <w:t xml:space="preserve"> has brought environmental and climate-oriented concerns to the forefront of national policy.  In the 12th FYP, the government set a range of binding targets designed to encourage transition to a greener economy and industrial sector.  These targets include the following:</w:t>
      </w:r>
    </w:p>
    <w:p w:rsidR="00DC3576" w:rsidRDefault="00DC3576" w:rsidP="00DC3576">
      <w:pPr>
        <w:spacing w:line="480" w:lineRule="auto"/>
        <w:rPr>
          <w:rFonts w:ascii="Times New Roman" w:hAnsi="Times New Roman"/>
        </w:rPr>
      </w:pPr>
      <w:r>
        <w:rPr>
          <w:rFonts w:ascii="Times New Roman" w:hAnsi="Times New Roman"/>
        </w:rPr>
        <w:tab/>
        <w:t>- Decrease in energy intensity (energy consumed per unity GDP) by 16% by 2015.</w:t>
      </w:r>
    </w:p>
    <w:p w:rsidR="00DC3576" w:rsidRDefault="00DC3576" w:rsidP="00DC3576">
      <w:pPr>
        <w:spacing w:line="480" w:lineRule="auto"/>
        <w:rPr>
          <w:rFonts w:ascii="Times New Roman" w:hAnsi="Times New Roman"/>
        </w:rPr>
      </w:pPr>
      <w:r>
        <w:rPr>
          <w:rFonts w:ascii="Times New Roman" w:hAnsi="Times New Roman"/>
        </w:rPr>
        <w:lastRenderedPageBreak/>
        <w:tab/>
        <w:t>- Decrease in carbon intensity (carbon emissions per unit GDP) by 17% by 2015.</w:t>
      </w:r>
    </w:p>
    <w:p w:rsidR="00DC3576" w:rsidRDefault="00DC3576" w:rsidP="00DC3576">
      <w:pPr>
        <w:spacing w:line="480" w:lineRule="auto"/>
        <w:rPr>
          <w:rFonts w:ascii="Times New Roman" w:hAnsi="Times New Roman"/>
        </w:rPr>
      </w:pPr>
      <w:r>
        <w:rPr>
          <w:rFonts w:ascii="Times New Roman" w:hAnsi="Times New Roman"/>
        </w:rPr>
        <w:tab/>
        <w:t xml:space="preserve">- Increase in share of non-fossil energy in total energy mix from current 8.3% to 11.4% </w:t>
      </w:r>
      <w:r>
        <w:rPr>
          <w:rFonts w:ascii="Times New Roman" w:hAnsi="Times New Roman"/>
        </w:rPr>
        <w:tab/>
        <w:t>by 2015.</w:t>
      </w:r>
    </w:p>
    <w:p w:rsidR="00DC3576" w:rsidRDefault="00DC3576" w:rsidP="00DC3576">
      <w:pPr>
        <w:spacing w:line="480" w:lineRule="auto"/>
        <w:rPr>
          <w:rFonts w:ascii="Times New Roman" w:hAnsi="Times New Roman"/>
        </w:rPr>
      </w:pPr>
      <w:r>
        <w:rPr>
          <w:rFonts w:ascii="Times New Roman" w:hAnsi="Times New Roman"/>
        </w:rPr>
        <w:tab/>
        <w:t>- Increase in R&amp;D expenditures from 1.8% GDP to 2.2% GDP.</w:t>
      </w:r>
    </w:p>
    <w:p w:rsidR="00DC3576" w:rsidRDefault="00DC3576" w:rsidP="00DC3576">
      <w:pPr>
        <w:spacing w:line="480" w:lineRule="auto"/>
        <w:rPr>
          <w:rFonts w:ascii="Times New Roman" w:hAnsi="Times New Roman"/>
        </w:rPr>
      </w:pPr>
      <w:r>
        <w:rPr>
          <w:rFonts w:ascii="Times New Roman" w:hAnsi="Times New Roman"/>
        </w:rPr>
        <w:tab/>
        <w:t xml:space="preserve">- Reduction in nitrogen oxide and ammonia nitrogen pollution, linked to industrial heavy </w:t>
      </w:r>
      <w:r>
        <w:rPr>
          <w:rFonts w:ascii="Times New Roman" w:hAnsi="Times New Roman"/>
        </w:rPr>
        <w:tab/>
        <w:t>metal pollution, by 10% by 2015.</w:t>
      </w:r>
      <w:r>
        <w:rPr>
          <w:rStyle w:val="FootnoteReference"/>
          <w:rFonts w:ascii="Times New Roman" w:hAnsi="Times New Roman"/>
        </w:rPr>
        <w:footnoteReference w:id="18"/>
      </w:r>
      <w:r>
        <w:rPr>
          <w:rFonts w:ascii="Times New Roman" w:hAnsi="Times New Roman"/>
        </w:rPr>
        <w:t xml:space="preserve">  </w:t>
      </w:r>
    </w:p>
    <w:p w:rsidR="00DC3576" w:rsidRDefault="00DC3576" w:rsidP="00DC3576">
      <w:pPr>
        <w:spacing w:line="480" w:lineRule="auto"/>
        <w:rPr>
          <w:rFonts w:ascii="Times New Roman" w:hAnsi="Times New Roman"/>
        </w:rPr>
      </w:pPr>
      <w:r>
        <w:rPr>
          <w:rFonts w:ascii="Times New Roman" w:hAnsi="Times New Roman"/>
        </w:rPr>
        <w:t>FYP targets play an important role in the implementation of government policy and associated laws.  The requirements listed above are binding targets, and therefore provincial and local officials and the heads of state-owned enterprises will be evaluated, and penalized or promoted, in part based on whether or not they meet said targets.</w:t>
      </w:r>
      <w:r>
        <w:rPr>
          <w:rStyle w:val="FootnoteReference"/>
          <w:rFonts w:ascii="Times New Roman" w:hAnsi="Times New Roman"/>
        </w:rPr>
        <w:footnoteReference w:id="19"/>
      </w:r>
    </w:p>
    <w:p w:rsidR="00DC3576" w:rsidRDefault="00DC3576" w:rsidP="00DC3576">
      <w:pPr>
        <w:spacing w:line="480" w:lineRule="auto"/>
        <w:rPr>
          <w:rFonts w:ascii="Times New Roman" w:hAnsi="Times New Roman"/>
        </w:rPr>
      </w:pPr>
      <w:r>
        <w:rPr>
          <w:rFonts w:ascii="Times New Roman" w:hAnsi="Times New Roman"/>
        </w:rPr>
        <w:tab/>
        <w:t xml:space="preserve">The 12th FYP’s energy targets resulted from an ongoing trend towards low-carbon development in Chinese policy-making.  Legal mechanisms encouraging the development of large-scale renewable energy sources have been in place for some time.  The FYP targets are powerful enforcement mechanisms on their own, but are also meant to play a supportive role to existing and developing laws and regulations.  Such interplay between law and policy is needed to navigate the necessary changes in the economic and technological infrastructure of China’s electricity system.  </w:t>
      </w:r>
    </w:p>
    <w:p w:rsidR="002A327D" w:rsidRDefault="002A327D" w:rsidP="002A327D">
      <w:pPr>
        <w:spacing w:line="480" w:lineRule="auto"/>
        <w:rPr>
          <w:rFonts w:ascii="Times New Roman" w:hAnsi="Times New Roman"/>
        </w:rPr>
      </w:pPr>
    </w:p>
    <w:p w:rsidR="004B3751" w:rsidRDefault="004B3751" w:rsidP="004B3751">
      <w:pPr>
        <w:spacing w:line="480" w:lineRule="auto"/>
        <w:rPr>
          <w:rFonts w:ascii="Times New Roman" w:hAnsi="Times New Roman"/>
        </w:rPr>
      </w:pPr>
      <w:r>
        <w:rPr>
          <w:rFonts w:ascii="Times New Roman" w:hAnsi="Times New Roman"/>
        </w:rPr>
        <w:t>III</w:t>
      </w:r>
      <w:proofErr w:type="gramStart"/>
      <w:r>
        <w:rPr>
          <w:rFonts w:ascii="Times New Roman" w:hAnsi="Times New Roman"/>
        </w:rPr>
        <w:t xml:space="preserve">.  </w:t>
      </w:r>
      <w:r w:rsidRPr="005D5D4E">
        <w:rPr>
          <w:rFonts w:ascii="Times New Roman" w:hAnsi="Times New Roman"/>
          <w:u w:val="single"/>
        </w:rPr>
        <w:t>Wind</w:t>
      </w:r>
      <w:proofErr w:type="gramEnd"/>
      <w:r w:rsidRPr="005D5D4E">
        <w:rPr>
          <w:rFonts w:ascii="Times New Roman" w:hAnsi="Times New Roman"/>
          <w:u w:val="single"/>
        </w:rPr>
        <w:t xml:space="preserve"> Power and the Renewable Energy Law</w:t>
      </w:r>
      <w:r>
        <w:rPr>
          <w:rFonts w:ascii="Times New Roman" w:hAnsi="Times New Roman"/>
        </w:rPr>
        <w:t>.</w:t>
      </w:r>
    </w:p>
    <w:p w:rsidR="004B3751" w:rsidRDefault="004B3751" w:rsidP="004B3751">
      <w:pPr>
        <w:spacing w:line="480" w:lineRule="auto"/>
        <w:rPr>
          <w:rFonts w:ascii="Times New Roman" w:hAnsi="Times New Roman"/>
        </w:rPr>
      </w:pPr>
      <w:r>
        <w:rPr>
          <w:rFonts w:ascii="Times New Roman" w:hAnsi="Times New Roman"/>
        </w:rPr>
        <w:lastRenderedPageBreak/>
        <w:tab/>
        <w:t>For the purpose of this paper, our starting point is the FYP target calling for an increase in share of non-fossil energy in total energy mix from current 8.3% to 11.4% by 2015</w:t>
      </w:r>
      <w:r w:rsidR="006C4E73">
        <w:rPr>
          <w:rFonts w:ascii="Times New Roman" w:hAnsi="Times New Roman"/>
        </w:rPr>
        <w:t xml:space="preserve">.  This target includes all energy sources, of which electricity production </w:t>
      </w:r>
      <w:r w:rsidR="00157B75">
        <w:rPr>
          <w:rFonts w:ascii="Times New Roman" w:hAnsi="Times New Roman"/>
        </w:rPr>
        <w:t>makes</w:t>
      </w:r>
      <w:r w:rsidR="006C4E73">
        <w:rPr>
          <w:rFonts w:ascii="Times New Roman" w:hAnsi="Times New Roman"/>
        </w:rPr>
        <w:t xml:space="preserve"> the most significant part</w:t>
      </w:r>
      <w:r>
        <w:rPr>
          <w:rFonts w:ascii="Times New Roman" w:hAnsi="Times New Roman"/>
        </w:rPr>
        <w:t>.  At present, hydropower is the most prominent source of non-fossil electricity in China, and electricity accounts for the bulk of energy production.  According to the China Electricity Council, in 2008 586.7 terawatt-hours (</w:t>
      </w:r>
      <w:proofErr w:type="spellStart"/>
      <w:r>
        <w:rPr>
          <w:rFonts w:ascii="Times New Roman" w:hAnsi="Times New Roman"/>
        </w:rPr>
        <w:t>TWh</w:t>
      </w:r>
      <w:proofErr w:type="spellEnd"/>
      <w:r>
        <w:rPr>
          <w:rFonts w:ascii="Times New Roman" w:hAnsi="Times New Roman"/>
        </w:rPr>
        <w:t xml:space="preserve">) of electricity came from renewable sources, with the vast majority (563.3 </w:t>
      </w:r>
      <w:proofErr w:type="spellStart"/>
      <w:r>
        <w:rPr>
          <w:rFonts w:ascii="Times New Roman" w:hAnsi="Times New Roman"/>
        </w:rPr>
        <w:t>TWh</w:t>
      </w:r>
      <w:proofErr w:type="spellEnd"/>
      <w:r>
        <w:rPr>
          <w:rFonts w:ascii="Times New Roman" w:hAnsi="Times New Roman"/>
        </w:rPr>
        <w:t>) produced by hydroelectric projects.</w:t>
      </w:r>
      <w:r>
        <w:rPr>
          <w:rStyle w:val="FootnoteReference"/>
          <w:rFonts w:ascii="Times New Roman" w:hAnsi="Times New Roman"/>
        </w:rPr>
        <w:footnoteReference w:id="20"/>
      </w:r>
      <w:r>
        <w:rPr>
          <w:rFonts w:ascii="Times New Roman" w:hAnsi="Times New Roman"/>
        </w:rPr>
        <w:t xml:space="preserve">  </w:t>
      </w:r>
    </w:p>
    <w:p w:rsidR="004B3751" w:rsidRDefault="004B3751" w:rsidP="004B3751">
      <w:pPr>
        <w:spacing w:line="480" w:lineRule="auto"/>
        <w:rPr>
          <w:rFonts w:ascii="Times New Roman" w:hAnsi="Times New Roman"/>
        </w:rPr>
      </w:pPr>
      <w:r>
        <w:rPr>
          <w:rFonts w:ascii="Times New Roman" w:hAnsi="Times New Roman"/>
        </w:rPr>
        <w:tab/>
        <w:t>Wind power ranks second after hydropower in renewable producers of electricity.  In 2010, installed wind capacity was estimated at 42 GW.</w:t>
      </w:r>
      <w:r>
        <w:rPr>
          <w:rStyle w:val="FootnoteReference"/>
          <w:rFonts w:ascii="Times New Roman" w:hAnsi="Times New Roman"/>
        </w:rPr>
        <w:footnoteReference w:id="21"/>
      </w:r>
      <w:r>
        <w:rPr>
          <w:rFonts w:ascii="Times New Roman" w:hAnsi="Times New Roman"/>
        </w:rPr>
        <w:t xml:space="preserve">  While this is still small compared with China’s hydropower capacity, it represents remarkably rapid growth.  In 1996 China’s wind capacity was 28 MW, while today’s wind capacity is ten times that.</w:t>
      </w:r>
      <w:r>
        <w:rPr>
          <w:rStyle w:val="FootnoteReference"/>
          <w:rFonts w:ascii="Times New Roman" w:hAnsi="Times New Roman"/>
        </w:rPr>
        <w:footnoteReference w:id="22"/>
      </w:r>
      <w:r>
        <w:rPr>
          <w:rFonts w:ascii="Times New Roman" w:hAnsi="Times New Roman"/>
        </w:rPr>
        <w:t xml:space="preserve">  </w:t>
      </w:r>
    </w:p>
    <w:p w:rsidR="004B3751" w:rsidRDefault="004B3751" w:rsidP="004B3751">
      <w:pPr>
        <w:spacing w:line="480" w:lineRule="auto"/>
        <w:rPr>
          <w:rFonts w:ascii="Times New Roman" w:hAnsi="Times New Roman"/>
        </w:rPr>
      </w:pPr>
      <w:r>
        <w:rPr>
          <w:rFonts w:ascii="Times New Roman" w:hAnsi="Times New Roman"/>
        </w:rPr>
        <w:tab/>
        <w:t>China’s Renewable Energy Law, first passed in 2006 (REL 2006), has played a prominent role in encouraging wind power development.  The REL 2006 established a coherent national system for renewable energy development, setting targets for renewables in the electricity market and, perhaps most importantly, an innovative pricing mechanism.</w:t>
      </w:r>
      <w:r>
        <w:rPr>
          <w:rStyle w:val="FootnoteReference"/>
          <w:rFonts w:ascii="Times New Roman" w:hAnsi="Times New Roman"/>
        </w:rPr>
        <w:footnoteReference w:id="23"/>
      </w:r>
      <w:r>
        <w:rPr>
          <w:rFonts w:ascii="Times New Roman" w:hAnsi="Times New Roman"/>
        </w:rPr>
        <w:t xml:space="preserve">  The provisions of REL 2006 aimed in part to provide financial incentive for renewable energy development, beginning with Article 14, which required that relevant grid enterprises enter into grid synchronization agreements with local renewable energy producers, and that they purchase all available energy from said producers.</w:t>
      </w:r>
      <w:r>
        <w:rPr>
          <w:rStyle w:val="FootnoteReference"/>
          <w:rFonts w:ascii="Times New Roman" w:hAnsi="Times New Roman"/>
        </w:rPr>
        <w:footnoteReference w:id="24"/>
      </w:r>
      <w:r>
        <w:rPr>
          <w:rFonts w:ascii="Times New Roman" w:hAnsi="Times New Roman"/>
        </w:rPr>
        <w:t xml:space="preserve">  In addition, Article 21 provided that grid operators could recoup the money spent on grid connection by incorporating the cost into the selling price </w:t>
      </w:r>
      <w:r>
        <w:rPr>
          <w:rFonts w:ascii="Times New Roman" w:hAnsi="Times New Roman"/>
        </w:rPr>
        <w:lastRenderedPageBreak/>
        <w:t>of electricity.</w:t>
      </w:r>
      <w:r>
        <w:rPr>
          <w:rStyle w:val="FootnoteReference"/>
          <w:rFonts w:ascii="Times New Roman" w:hAnsi="Times New Roman"/>
        </w:rPr>
        <w:footnoteReference w:id="25"/>
      </w:r>
      <w:r>
        <w:rPr>
          <w:rFonts w:ascii="Times New Roman" w:hAnsi="Times New Roman"/>
        </w:rPr>
        <w:t xml:space="preserve">  Meanwhile, Article 19 of the REL 2009 provided for the use of pricing arrangements by government administrators to actively encourage investment, and provided for a public bidding process to be applied in cases of renewable energy grid access.</w:t>
      </w:r>
      <w:r>
        <w:rPr>
          <w:rStyle w:val="FootnoteReference"/>
          <w:rFonts w:ascii="Times New Roman" w:hAnsi="Times New Roman"/>
        </w:rPr>
        <w:footnoteReference w:id="26"/>
      </w:r>
      <w:r>
        <w:rPr>
          <w:rFonts w:ascii="Times New Roman" w:hAnsi="Times New Roman"/>
        </w:rPr>
        <w:t xml:space="preserve">  </w:t>
      </w:r>
    </w:p>
    <w:p w:rsidR="004B3751" w:rsidRDefault="004B3751" w:rsidP="004B3751">
      <w:pPr>
        <w:spacing w:line="480" w:lineRule="auto"/>
        <w:rPr>
          <w:rFonts w:ascii="Times New Roman" w:hAnsi="Times New Roman"/>
        </w:rPr>
      </w:pPr>
      <w:r>
        <w:rPr>
          <w:rFonts w:ascii="Times New Roman" w:hAnsi="Times New Roman"/>
        </w:rPr>
        <w:tab/>
        <w:t>The provisions outlined in the 2006 REL were general in scope, and relied on plans and regulations implemented by regulating agencies in order to come into effect.  The NDRC’s 2007 Plan, for example, set installed capacity targets for individual renewable energy technologies, including wind power and solar PV.</w:t>
      </w:r>
      <w:r>
        <w:rPr>
          <w:rStyle w:val="FootnoteReference"/>
          <w:rFonts w:ascii="Times New Roman" w:hAnsi="Times New Roman"/>
        </w:rPr>
        <w:footnoteReference w:id="27"/>
      </w:r>
      <w:r>
        <w:rPr>
          <w:rFonts w:ascii="Times New Roman" w:hAnsi="Times New Roman"/>
        </w:rPr>
        <w:t xml:space="preserve">  In its associated </w:t>
      </w:r>
      <w:r>
        <w:rPr>
          <w:rFonts w:ascii="Times New Roman" w:hAnsi="Times New Roman"/>
          <w:i/>
        </w:rPr>
        <w:t>Medium and Long Term Development Plan</w:t>
      </w:r>
      <w:r>
        <w:rPr>
          <w:rFonts w:ascii="Times New Roman" w:hAnsi="Times New Roman"/>
        </w:rPr>
        <w:t>, the NDRC also established a target of three percent annual load to be derived from renewables for China’s ten largest power companies by 2010.  This last provision was not a success, and by 2008 only one of the ten companies, state-owned enterprises who together account for sixty percent of China’s electricity, stood close to achieving the target.</w:t>
      </w:r>
      <w:r>
        <w:rPr>
          <w:rStyle w:val="FootnoteReference"/>
          <w:rFonts w:ascii="Times New Roman" w:hAnsi="Times New Roman"/>
        </w:rPr>
        <w:footnoteReference w:id="28"/>
      </w:r>
      <w:r>
        <w:rPr>
          <w:rFonts w:ascii="Times New Roman" w:hAnsi="Times New Roman"/>
        </w:rPr>
        <w:t xml:space="preserve">  </w:t>
      </w:r>
    </w:p>
    <w:p w:rsidR="004B3751" w:rsidRDefault="004B3751" w:rsidP="004B3751">
      <w:pPr>
        <w:spacing w:line="480" w:lineRule="auto"/>
        <w:rPr>
          <w:rFonts w:ascii="Times New Roman" w:hAnsi="Times New Roman"/>
        </w:rPr>
      </w:pPr>
      <w:r>
        <w:rPr>
          <w:rFonts w:ascii="Times New Roman" w:hAnsi="Times New Roman"/>
        </w:rPr>
        <w:tab/>
        <w:t xml:space="preserve">Two regulations by two different government agencies implemented REL 2006 Article 14.  The first was the NDRC’s </w:t>
      </w:r>
      <w:r>
        <w:rPr>
          <w:rFonts w:ascii="Times New Roman" w:hAnsi="Times New Roman"/>
          <w:i/>
        </w:rPr>
        <w:t>Regulation on the Administration of Power Generation from Renewable Energy</w:t>
      </w:r>
      <w:r>
        <w:rPr>
          <w:rFonts w:ascii="Times New Roman" w:hAnsi="Times New Roman"/>
        </w:rPr>
        <w:t xml:space="preserve">, followed by the SERC’s </w:t>
      </w:r>
      <w:r>
        <w:rPr>
          <w:rFonts w:ascii="Times New Roman" w:hAnsi="Times New Roman"/>
          <w:i/>
        </w:rPr>
        <w:t>Measures on Supervision and Administration of Grid Enterprises in the Purchase of Renewable Energy Power</w:t>
      </w:r>
      <w:r>
        <w:rPr>
          <w:rFonts w:ascii="Times New Roman" w:hAnsi="Times New Roman"/>
        </w:rPr>
        <w:t>.</w:t>
      </w:r>
      <w:r>
        <w:rPr>
          <w:rStyle w:val="FootnoteReference"/>
          <w:rFonts w:ascii="Times New Roman" w:hAnsi="Times New Roman"/>
        </w:rPr>
        <w:footnoteReference w:id="29"/>
      </w:r>
      <w:r>
        <w:rPr>
          <w:rFonts w:ascii="Times New Roman" w:hAnsi="Times New Roman"/>
        </w:rPr>
        <w:t xml:space="preserve">  These regulations set general rules for grid connection and required that utilities must provide grid connection service for renewables producers, and must subsequently purchase all the electricity produced.</w:t>
      </w:r>
      <w:r>
        <w:rPr>
          <w:rStyle w:val="FootnoteReference"/>
          <w:rFonts w:ascii="Times New Roman" w:hAnsi="Times New Roman"/>
        </w:rPr>
        <w:footnoteReference w:id="30"/>
      </w:r>
      <w:r>
        <w:rPr>
          <w:rFonts w:ascii="Times New Roman" w:hAnsi="Times New Roman"/>
        </w:rPr>
        <w:t xml:space="preserve">  </w:t>
      </w:r>
    </w:p>
    <w:p w:rsidR="004B3751" w:rsidRDefault="004B3751" w:rsidP="004B3751">
      <w:pPr>
        <w:spacing w:line="480" w:lineRule="auto"/>
        <w:rPr>
          <w:rFonts w:ascii="Times New Roman" w:hAnsi="Times New Roman"/>
        </w:rPr>
      </w:pPr>
      <w:r>
        <w:rPr>
          <w:rFonts w:ascii="Times New Roman" w:hAnsi="Times New Roman"/>
        </w:rPr>
        <w:tab/>
        <w:t xml:space="preserve">For our purposes, measures taken to implement REL 2006 Article 19 warrant the closest attention.  Regulations promulgated by the NDRC (?) established pricing arrangements based on Article 19, resulting in two systems functioning simultaneously.  The first, originally established </w:t>
      </w:r>
      <w:r>
        <w:rPr>
          <w:rFonts w:ascii="Times New Roman" w:hAnsi="Times New Roman"/>
        </w:rPr>
        <w:lastRenderedPageBreak/>
        <w:t>in 2003, was the franchise-bidding system, while the second, established by the Article 19 regulations, was a system of fixed government pricing, or sanctions.</w:t>
      </w:r>
      <w:r>
        <w:rPr>
          <w:rStyle w:val="FootnoteReference"/>
          <w:rFonts w:ascii="Times New Roman" w:hAnsi="Times New Roman"/>
        </w:rPr>
        <w:footnoteReference w:id="31"/>
      </w:r>
      <w:r>
        <w:rPr>
          <w:rFonts w:ascii="Times New Roman" w:hAnsi="Times New Roman"/>
        </w:rPr>
        <w:t xml:space="preserve">  This second system resembles a feed-in tariff system (FIT), in that it guaranteed a set purchase price for renewable electricity producers, while other regulations required that a producer’s electrical load be purchased by the local grid operator.  Such systems have met with considerable success, particularly in Europe.  Chinese policy makers have continued in recent years to further develop national and regional FIT-like pricing mechanisms based on the REL, and despite continuing challenges this direction holds much promise.  </w:t>
      </w:r>
    </w:p>
    <w:p w:rsidR="004B3751" w:rsidRDefault="004B3751" w:rsidP="004B3751">
      <w:pPr>
        <w:spacing w:line="480" w:lineRule="auto"/>
        <w:rPr>
          <w:rFonts w:ascii="Times New Roman" w:hAnsi="Times New Roman"/>
        </w:rPr>
      </w:pPr>
    </w:p>
    <w:p w:rsidR="004B3751" w:rsidRPr="00CD0E03" w:rsidRDefault="004B3751" w:rsidP="004B3751">
      <w:pPr>
        <w:spacing w:line="480" w:lineRule="auto"/>
        <w:rPr>
          <w:rFonts w:ascii="Times New Roman" w:hAnsi="Times New Roman"/>
        </w:rPr>
      </w:pPr>
      <w:r>
        <w:rPr>
          <w:rFonts w:ascii="Times New Roman" w:hAnsi="Times New Roman"/>
        </w:rPr>
        <w:t>IV</w:t>
      </w:r>
      <w:proofErr w:type="gramStart"/>
      <w:r>
        <w:rPr>
          <w:rFonts w:ascii="Times New Roman" w:hAnsi="Times New Roman"/>
        </w:rPr>
        <w:t xml:space="preserve">.  </w:t>
      </w:r>
      <w:r w:rsidRPr="003D33FE">
        <w:rPr>
          <w:rFonts w:ascii="Times New Roman" w:hAnsi="Times New Roman"/>
          <w:u w:val="single"/>
        </w:rPr>
        <w:t>The</w:t>
      </w:r>
      <w:proofErr w:type="gramEnd"/>
      <w:r w:rsidRPr="003D33FE">
        <w:rPr>
          <w:rFonts w:ascii="Times New Roman" w:hAnsi="Times New Roman"/>
          <w:u w:val="single"/>
        </w:rPr>
        <w:t xml:space="preserve"> 2009</w:t>
      </w:r>
      <w:r>
        <w:rPr>
          <w:rFonts w:ascii="Times New Roman" w:hAnsi="Times New Roman"/>
        </w:rPr>
        <w:t xml:space="preserve"> </w:t>
      </w:r>
      <w:r w:rsidRPr="003D3CB4">
        <w:rPr>
          <w:rFonts w:ascii="Times New Roman" w:hAnsi="Times New Roman"/>
          <w:u w:val="single"/>
        </w:rPr>
        <w:t>REL</w:t>
      </w:r>
      <w:r>
        <w:rPr>
          <w:rFonts w:ascii="Times New Roman" w:hAnsi="Times New Roman"/>
          <w:u w:val="single"/>
        </w:rPr>
        <w:t xml:space="preserve"> Amendments and</w:t>
      </w:r>
      <w:r w:rsidRPr="003D3CB4">
        <w:rPr>
          <w:rFonts w:ascii="Times New Roman" w:hAnsi="Times New Roman"/>
          <w:u w:val="single"/>
        </w:rPr>
        <w:t xml:space="preserve"> </w:t>
      </w:r>
      <w:r>
        <w:rPr>
          <w:rFonts w:ascii="Times New Roman" w:hAnsi="Times New Roman"/>
          <w:u w:val="single"/>
        </w:rPr>
        <w:t>Challenges to</w:t>
      </w:r>
      <w:r w:rsidRPr="003D3CB4">
        <w:rPr>
          <w:rFonts w:ascii="Times New Roman" w:hAnsi="Times New Roman"/>
          <w:u w:val="single"/>
        </w:rPr>
        <w:t xml:space="preserve"> FIT-type </w:t>
      </w:r>
      <w:r>
        <w:rPr>
          <w:rFonts w:ascii="Times New Roman" w:hAnsi="Times New Roman"/>
          <w:u w:val="single"/>
        </w:rPr>
        <w:t>Mechanisms</w:t>
      </w:r>
      <w:r>
        <w:rPr>
          <w:rFonts w:ascii="Times New Roman" w:hAnsi="Times New Roman"/>
        </w:rPr>
        <w:t>.</w:t>
      </w:r>
    </w:p>
    <w:p w:rsidR="004B3751" w:rsidRDefault="004B3751" w:rsidP="004B3751">
      <w:pPr>
        <w:spacing w:line="480" w:lineRule="auto"/>
        <w:rPr>
          <w:rFonts w:ascii="Times New Roman" w:hAnsi="Times New Roman"/>
        </w:rPr>
      </w:pPr>
      <w:r>
        <w:rPr>
          <w:rFonts w:ascii="Times New Roman" w:hAnsi="Times New Roman"/>
        </w:rPr>
        <w:tab/>
        <w:t xml:space="preserve">In August 2009 the National People’s Congress passed several amendments to the REL.  The amendments represented minor changes overall, but two updated provisions suggest ongoing efforts to mitigate distinct challenges to renewable energy integration. </w:t>
      </w:r>
    </w:p>
    <w:p w:rsidR="004B3751" w:rsidRDefault="009E0689" w:rsidP="004B3751">
      <w:pPr>
        <w:spacing w:line="480" w:lineRule="auto"/>
        <w:rPr>
          <w:rFonts w:ascii="Times New Roman" w:hAnsi="Times New Roman"/>
        </w:rPr>
      </w:pPr>
      <w:r>
        <w:rPr>
          <w:rFonts w:ascii="Times New Roman" w:hAnsi="Times New Roman"/>
        </w:rPr>
        <w:tab/>
      </w:r>
      <w:r w:rsidR="004B3751">
        <w:rPr>
          <w:rFonts w:ascii="Times New Roman" w:hAnsi="Times New Roman"/>
        </w:rPr>
        <w:t>Originally</w:t>
      </w:r>
      <w:proofErr w:type="gramStart"/>
      <w:r w:rsidR="004B3751">
        <w:rPr>
          <w:rFonts w:ascii="Times New Roman" w:hAnsi="Times New Roman"/>
        </w:rPr>
        <w:t>,  Article</w:t>
      </w:r>
      <w:proofErr w:type="gramEnd"/>
      <w:r w:rsidR="004B3751">
        <w:rPr>
          <w:rFonts w:ascii="Times New Roman" w:hAnsi="Times New Roman"/>
        </w:rPr>
        <w:t xml:space="preserve"> 14 required only that grid operators provide grid connection and fulfill purchasing agreements.</w:t>
      </w:r>
      <w:r w:rsidR="004B3751">
        <w:rPr>
          <w:rStyle w:val="FootnoteReference"/>
          <w:rFonts w:ascii="Times New Roman" w:hAnsi="Times New Roman"/>
        </w:rPr>
        <w:footnoteReference w:id="32"/>
      </w:r>
      <w:r w:rsidR="004B3751">
        <w:rPr>
          <w:rFonts w:ascii="Times New Roman" w:hAnsi="Times New Roman"/>
        </w:rPr>
        <w:t xml:space="preserve">  In its amended form, however, Article 14 required that state regulatory organs and the State Council promulgate an annual regulation governing grid purchases of renewable power.</w:t>
      </w:r>
      <w:r w:rsidR="004B3751">
        <w:rPr>
          <w:rStyle w:val="FootnoteReference"/>
          <w:rFonts w:ascii="Times New Roman" w:hAnsi="Times New Roman"/>
        </w:rPr>
        <w:footnoteReference w:id="33"/>
      </w:r>
      <w:r w:rsidR="004B3751">
        <w:rPr>
          <w:rFonts w:ascii="Times New Roman" w:hAnsi="Times New Roman"/>
        </w:rPr>
        <w:t xml:space="preserve">  The regulation provides for the following:</w:t>
      </w:r>
    </w:p>
    <w:p w:rsidR="0098238B" w:rsidRDefault="0098238B" w:rsidP="0098238B">
      <w:pPr>
        <w:spacing w:line="480" w:lineRule="auto"/>
        <w:rPr>
          <w:rFonts w:ascii="Times New Roman" w:hAnsi="Times New Roman"/>
        </w:rPr>
      </w:pPr>
      <w:r>
        <w:rPr>
          <w:rFonts w:ascii="Times New Roman" w:hAnsi="Times New Roman"/>
        </w:rPr>
        <w:tab/>
        <w:t xml:space="preserve">The department of the State Council in charge of energy affairs shall, jointly with the </w:t>
      </w:r>
      <w:r>
        <w:rPr>
          <w:rFonts w:ascii="Times New Roman" w:hAnsi="Times New Roman"/>
        </w:rPr>
        <w:tab/>
        <w:t xml:space="preserve">state power regulatory organ and the financial department of the State council, determine </w:t>
      </w:r>
      <w:r>
        <w:rPr>
          <w:rFonts w:ascii="Times New Roman" w:hAnsi="Times New Roman"/>
        </w:rPr>
        <w:lastRenderedPageBreak/>
        <w:tab/>
        <w:t xml:space="preserve">the percentage of the quantity of electricity generated from renewable energies in the </w:t>
      </w:r>
      <w:r>
        <w:rPr>
          <w:rFonts w:ascii="Times New Roman" w:hAnsi="Times New Roman"/>
        </w:rPr>
        <w:tab/>
        <w:t xml:space="preserve">total quantity of electricity generated during the planned period, and formulate the </w:t>
      </w:r>
      <w:r>
        <w:rPr>
          <w:rFonts w:ascii="Times New Roman" w:hAnsi="Times New Roman"/>
        </w:rPr>
        <w:tab/>
        <w:t xml:space="preserve">specific regulations on the priority power dispatching and purchase of the full amount of </w:t>
      </w:r>
      <w:r>
        <w:rPr>
          <w:rFonts w:ascii="Times New Roman" w:hAnsi="Times New Roman"/>
        </w:rPr>
        <w:tab/>
        <w:t xml:space="preserve">electricity generated from renewable energies by power-grid enterprises, in accordance </w:t>
      </w:r>
      <w:r>
        <w:rPr>
          <w:rFonts w:ascii="Times New Roman" w:hAnsi="Times New Roman"/>
        </w:rPr>
        <w:tab/>
        <w:t xml:space="preserve">with the national programs for the development and utilization of renewable energies.  </w:t>
      </w:r>
      <w:r>
        <w:rPr>
          <w:rFonts w:ascii="Times New Roman" w:hAnsi="Times New Roman"/>
        </w:rPr>
        <w:tab/>
        <w:t xml:space="preserve">The foregoing regulations shall be implemented under the supervision by the department </w:t>
      </w:r>
      <w:r>
        <w:rPr>
          <w:rFonts w:ascii="Times New Roman" w:hAnsi="Times New Roman"/>
        </w:rPr>
        <w:tab/>
        <w:t xml:space="preserve">of the State Council in charge of energy affairs, jointly with the national power regulatory </w:t>
      </w:r>
      <w:r>
        <w:rPr>
          <w:rFonts w:ascii="Times New Roman" w:hAnsi="Times New Roman"/>
        </w:rPr>
        <w:tab/>
        <w:t>organ, within the year concerned.</w:t>
      </w:r>
      <w:r>
        <w:rPr>
          <w:rStyle w:val="FootnoteReference"/>
          <w:rFonts w:ascii="Times New Roman" w:hAnsi="Times New Roman"/>
        </w:rPr>
        <w:footnoteReference w:id="34"/>
      </w:r>
    </w:p>
    <w:p w:rsidR="0098238B" w:rsidRDefault="0098238B" w:rsidP="0098238B">
      <w:pPr>
        <w:spacing w:line="480" w:lineRule="auto"/>
        <w:rPr>
          <w:rFonts w:ascii="Times New Roman" w:hAnsi="Times New Roman"/>
        </w:rPr>
      </w:pPr>
      <w:r>
        <w:rPr>
          <w:rFonts w:ascii="Times New Roman" w:hAnsi="Times New Roman"/>
        </w:rPr>
        <w:t>The amended Article 14 goes into specifics where its prior incarnation left interpretation and compliance in the hands of state organs and local governments.  While the process outlined in Article 14 appears “cumbersome” to some observers, it echoes a widespread concern that the REL 2006’s requirements lacked sufficient enforcement capacity, and that local governments and energy interests had developed a range of avoidance tactics.</w:t>
      </w:r>
      <w:r>
        <w:rPr>
          <w:rStyle w:val="FootnoteReference"/>
          <w:rFonts w:ascii="Times New Roman" w:hAnsi="Times New Roman"/>
        </w:rPr>
        <w:footnoteReference w:id="35"/>
      </w:r>
      <w:r>
        <w:rPr>
          <w:rFonts w:ascii="Times New Roman" w:hAnsi="Times New Roman"/>
        </w:rPr>
        <w:t xml:space="preserve">  By establishing a clear program for central oversight of the Article 14 grid connection and purchase process, the central government moved to address the problem of local implementation of the law.  </w:t>
      </w:r>
    </w:p>
    <w:p w:rsidR="0098238B" w:rsidRDefault="0098238B" w:rsidP="0098238B">
      <w:pPr>
        <w:spacing w:line="480" w:lineRule="auto"/>
        <w:rPr>
          <w:rFonts w:ascii="Times New Roman" w:hAnsi="Times New Roman"/>
        </w:rPr>
      </w:pPr>
      <w:r>
        <w:rPr>
          <w:rFonts w:ascii="Times New Roman" w:hAnsi="Times New Roman"/>
        </w:rPr>
        <w:tab/>
        <w:t xml:space="preserve">Similarly, the REL 2009 provides for greatly increased penalties for grid operators who violate the law.  Originally, the REL held that violators would be required to reimburse renewable energy producers whose electricity load went unconnected or </w:t>
      </w:r>
      <w:proofErr w:type="spellStart"/>
      <w:r>
        <w:rPr>
          <w:rFonts w:ascii="Times New Roman" w:hAnsi="Times New Roman"/>
        </w:rPr>
        <w:t>unpurchased</w:t>
      </w:r>
      <w:proofErr w:type="spellEnd"/>
      <w:r>
        <w:rPr>
          <w:rFonts w:ascii="Times New Roman" w:hAnsi="Times New Roman"/>
        </w:rPr>
        <w:t>, and the law actively limited fines to no more than actual economic loss to the producer.</w:t>
      </w:r>
      <w:r>
        <w:rPr>
          <w:rStyle w:val="FootnoteReference"/>
          <w:rFonts w:ascii="Times New Roman" w:hAnsi="Times New Roman"/>
        </w:rPr>
        <w:footnoteReference w:id="36"/>
      </w:r>
      <w:r>
        <w:rPr>
          <w:rFonts w:ascii="Times New Roman" w:hAnsi="Times New Roman"/>
        </w:rPr>
        <w:t xml:space="preserve">  In the REL 2009, Articles 29 to 31 require that relevant authorities shall require that violators come into </w:t>
      </w:r>
      <w:r>
        <w:rPr>
          <w:rFonts w:ascii="Times New Roman" w:hAnsi="Times New Roman"/>
        </w:rPr>
        <w:lastRenderedPageBreak/>
        <w:t>compliance within a set timeframe, and that those authorities shall impose fines of up to double the economic loss of the client producer if that timeframe is exceeded.</w:t>
      </w:r>
      <w:r>
        <w:rPr>
          <w:rStyle w:val="FootnoteReference"/>
          <w:rFonts w:ascii="Times New Roman" w:hAnsi="Times New Roman"/>
        </w:rPr>
        <w:footnoteReference w:id="37"/>
      </w:r>
      <w:r>
        <w:rPr>
          <w:rFonts w:ascii="Times New Roman" w:hAnsi="Times New Roman"/>
        </w:rPr>
        <w:t xml:space="preserve">  </w:t>
      </w:r>
    </w:p>
    <w:p w:rsidR="0098238B" w:rsidRDefault="0098238B" w:rsidP="0098238B">
      <w:pPr>
        <w:spacing w:line="480" w:lineRule="auto"/>
        <w:rPr>
          <w:rFonts w:ascii="Times New Roman" w:hAnsi="Times New Roman"/>
        </w:rPr>
      </w:pPr>
      <w:r>
        <w:rPr>
          <w:rFonts w:ascii="Times New Roman" w:hAnsi="Times New Roman"/>
        </w:rPr>
        <w:tab/>
        <w:t>The amended REL 2009 also reflects another pervasive challenge faced by renewable energy developers in China.  Grid operators face significant technological obstacles when required to integrate large-scale wind power sources into an electrical system built on coal power.  Against this background, the amended Article 14 expanded on its requirement that grid operators purchase renewable electricity to provide for the following:</w:t>
      </w:r>
    </w:p>
    <w:p w:rsidR="0098238B" w:rsidRDefault="0098238B" w:rsidP="0098238B">
      <w:pPr>
        <w:spacing w:line="480" w:lineRule="auto"/>
        <w:rPr>
          <w:rFonts w:ascii="Times New Roman" w:hAnsi="Times New Roman"/>
        </w:rPr>
      </w:pPr>
      <w:r>
        <w:rPr>
          <w:rFonts w:ascii="Times New Roman" w:hAnsi="Times New Roman"/>
        </w:rPr>
        <w:tab/>
        <w:t xml:space="preserve">Power grid companies shall strengthen the power grid construction, expand the scope of </w:t>
      </w:r>
      <w:r>
        <w:rPr>
          <w:rFonts w:ascii="Times New Roman" w:hAnsi="Times New Roman"/>
        </w:rPr>
        <w:tab/>
        <w:t xml:space="preserve">areas where electricity generated by using </w:t>
      </w:r>
      <w:proofErr w:type="spellStart"/>
      <w:r>
        <w:rPr>
          <w:rFonts w:ascii="Times New Roman" w:hAnsi="Times New Roman"/>
        </w:rPr>
        <w:t>regenerable</w:t>
      </w:r>
      <w:proofErr w:type="spellEnd"/>
      <w:r>
        <w:rPr>
          <w:rFonts w:ascii="Times New Roman" w:hAnsi="Times New Roman"/>
        </w:rPr>
        <w:t xml:space="preserve"> energy resources is provided, </w:t>
      </w:r>
      <w:r>
        <w:rPr>
          <w:rFonts w:ascii="Times New Roman" w:hAnsi="Times New Roman"/>
        </w:rPr>
        <w:tab/>
        <w:t xml:space="preserve">develop and apply intelligent power grid and energy storage technologies, improve the </w:t>
      </w:r>
      <w:r>
        <w:rPr>
          <w:rFonts w:ascii="Times New Roman" w:hAnsi="Times New Roman"/>
        </w:rPr>
        <w:tab/>
        <w:t xml:space="preserve">operation and management of power grids, improve the ability for absorbing electricity </w:t>
      </w:r>
      <w:r>
        <w:rPr>
          <w:rFonts w:ascii="Times New Roman" w:hAnsi="Times New Roman"/>
        </w:rPr>
        <w:tab/>
        <w:t xml:space="preserve">generated by using </w:t>
      </w:r>
      <w:proofErr w:type="spellStart"/>
      <w:r>
        <w:rPr>
          <w:rFonts w:ascii="Times New Roman" w:hAnsi="Times New Roman"/>
        </w:rPr>
        <w:t>regenerable</w:t>
      </w:r>
      <w:proofErr w:type="spellEnd"/>
      <w:r>
        <w:rPr>
          <w:rFonts w:ascii="Times New Roman" w:hAnsi="Times New Roman"/>
        </w:rPr>
        <w:t xml:space="preserve"> energy resources, and provide services for bringing </w:t>
      </w:r>
      <w:r>
        <w:rPr>
          <w:rFonts w:ascii="Times New Roman" w:hAnsi="Times New Roman"/>
        </w:rPr>
        <w:tab/>
        <w:t xml:space="preserve">electricity generated by using </w:t>
      </w:r>
      <w:proofErr w:type="spellStart"/>
      <w:r>
        <w:rPr>
          <w:rFonts w:ascii="Times New Roman" w:hAnsi="Times New Roman"/>
        </w:rPr>
        <w:t>regenerable</w:t>
      </w:r>
      <w:proofErr w:type="spellEnd"/>
      <w:r>
        <w:rPr>
          <w:rFonts w:ascii="Times New Roman" w:hAnsi="Times New Roman"/>
        </w:rPr>
        <w:t xml:space="preserve"> energy resources on grid.</w:t>
      </w:r>
      <w:r>
        <w:rPr>
          <w:rStyle w:val="FootnoteReference"/>
          <w:rFonts w:ascii="Times New Roman" w:hAnsi="Times New Roman"/>
        </w:rPr>
        <w:footnoteReference w:id="38"/>
      </w:r>
      <w:r>
        <w:rPr>
          <w:rFonts w:ascii="Times New Roman" w:hAnsi="Times New Roman"/>
        </w:rPr>
        <w:t xml:space="preserve">   </w:t>
      </w:r>
    </w:p>
    <w:p w:rsidR="00AC6B7E" w:rsidRDefault="0098238B" w:rsidP="0098238B">
      <w:pPr>
        <w:spacing w:line="480" w:lineRule="auto"/>
        <w:rPr>
          <w:rFonts w:ascii="Times New Roman" w:hAnsi="Times New Roman"/>
        </w:rPr>
      </w:pPr>
      <w:r>
        <w:rPr>
          <w:rFonts w:ascii="Times New Roman" w:hAnsi="Times New Roman"/>
        </w:rPr>
        <w:t xml:space="preserve">Again, this amendment refines requirements already present, albeit in a more general form, in the 2006 REL.  Here the central government set in law specific policy objectives meant to solve the technological problems faced by renewable energy developers.  These requirements would normally be left to provincial-level authorities to interpret and implement, and the central government’s direct action in the REL amendments demonstrates the law’s importance as a means of achieving renewable energy targets.  Moreover, the attention given to the goal of reliable grid connection demonstrates the importance of the REL 2009’s FIT-type programs as a means of reaching energy goals.  </w:t>
      </w:r>
    </w:p>
    <w:p w:rsidR="0098238B" w:rsidRDefault="0098238B" w:rsidP="0098238B">
      <w:pPr>
        <w:spacing w:line="480" w:lineRule="auto"/>
        <w:rPr>
          <w:rFonts w:ascii="Times New Roman" w:hAnsi="Times New Roman"/>
        </w:rPr>
      </w:pPr>
    </w:p>
    <w:p w:rsidR="0098238B" w:rsidRPr="005B1669" w:rsidRDefault="0098238B" w:rsidP="0098238B">
      <w:pPr>
        <w:spacing w:line="480" w:lineRule="auto"/>
        <w:rPr>
          <w:rFonts w:ascii="Times New Roman" w:hAnsi="Times New Roman"/>
        </w:rPr>
      </w:pPr>
      <w:r>
        <w:rPr>
          <w:rFonts w:ascii="Times New Roman" w:hAnsi="Times New Roman"/>
        </w:rPr>
        <w:lastRenderedPageBreak/>
        <w:t xml:space="preserve">V.  </w:t>
      </w:r>
      <w:r w:rsidRPr="00284104">
        <w:rPr>
          <w:rFonts w:ascii="Times New Roman" w:hAnsi="Times New Roman"/>
          <w:u w:val="single"/>
        </w:rPr>
        <w:t>Integration of Renewables after 2009</w:t>
      </w:r>
      <w:r>
        <w:rPr>
          <w:rFonts w:ascii="Times New Roman" w:hAnsi="Times New Roman"/>
          <w:u w:val="single"/>
        </w:rPr>
        <w:t xml:space="preserve"> and Continuing Role of the REL FIT program.</w:t>
      </w:r>
    </w:p>
    <w:p w:rsidR="0098238B" w:rsidRDefault="0098238B" w:rsidP="0098238B">
      <w:pPr>
        <w:spacing w:line="480" w:lineRule="auto"/>
        <w:rPr>
          <w:rFonts w:ascii="Times New Roman" w:hAnsi="Times New Roman"/>
        </w:rPr>
      </w:pPr>
      <w:r>
        <w:rPr>
          <w:rFonts w:ascii="Times New Roman" w:hAnsi="Times New Roman"/>
        </w:rPr>
        <w:tab/>
        <w:t xml:space="preserve">In 2011, the NDRC, working together with the International Energy Agency (IEA), published the </w:t>
      </w:r>
      <w:r w:rsidRPr="00D07643">
        <w:rPr>
          <w:rFonts w:ascii="Times New Roman" w:hAnsi="Times New Roman"/>
          <w:i/>
        </w:rPr>
        <w:t>China Wind Technology Roadmap 2050</w:t>
      </w:r>
      <w:r>
        <w:rPr>
          <w:rFonts w:ascii="Times New Roman" w:hAnsi="Times New Roman"/>
        </w:rPr>
        <w:t>.</w:t>
      </w:r>
      <w:r>
        <w:rPr>
          <w:rStyle w:val="FootnoteReference"/>
          <w:rFonts w:ascii="Times New Roman" w:hAnsi="Times New Roman"/>
        </w:rPr>
        <w:footnoteReference w:id="39"/>
      </w:r>
      <w:r>
        <w:rPr>
          <w:rFonts w:ascii="Times New Roman" w:hAnsi="Times New Roman"/>
        </w:rPr>
        <w:t xml:space="preserve">  The </w:t>
      </w:r>
      <w:r w:rsidRPr="00D07643">
        <w:rPr>
          <w:rFonts w:ascii="Times New Roman" w:hAnsi="Times New Roman"/>
          <w:i/>
        </w:rPr>
        <w:t>Roadmap</w:t>
      </w:r>
      <w:r>
        <w:rPr>
          <w:rFonts w:ascii="Times New Roman" w:hAnsi="Times New Roman"/>
        </w:rPr>
        <w:t xml:space="preserve"> set ambitious goals for wind-powered electricity production:</w:t>
      </w:r>
    </w:p>
    <w:p w:rsidR="0098238B" w:rsidRDefault="0098238B" w:rsidP="0098238B">
      <w:pPr>
        <w:spacing w:line="480" w:lineRule="auto"/>
        <w:rPr>
          <w:rFonts w:ascii="Times New Roman" w:hAnsi="Times New Roman"/>
        </w:rPr>
      </w:pPr>
      <w:r>
        <w:rPr>
          <w:rFonts w:ascii="Times New Roman" w:hAnsi="Times New Roman"/>
        </w:rPr>
        <w:tab/>
        <w:t xml:space="preserve">Some 15 GW of wind power capacity will be installed each year up to 2020.  Cumulative </w:t>
      </w:r>
      <w:r>
        <w:rPr>
          <w:rFonts w:ascii="Times New Roman" w:hAnsi="Times New Roman"/>
        </w:rPr>
        <w:tab/>
        <w:t xml:space="preserve">operational capacity in that year will be 200 GW, up from 31 GW at the end of 2010, </w:t>
      </w:r>
      <w:r>
        <w:rPr>
          <w:rFonts w:ascii="Times New Roman" w:hAnsi="Times New Roman"/>
        </w:rPr>
        <w:tab/>
        <w:t xml:space="preserve">meeting 5% of electricity production (400 </w:t>
      </w:r>
      <w:proofErr w:type="spellStart"/>
      <w:r>
        <w:rPr>
          <w:rFonts w:ascii="Times New Roman" w:hAnsi="Times New Roman"/>
        </w:rPr>
        <w:t>TWh</w:t>
      </w:r>
      <w:proofErr w:type="spellEnd"/>
      <w:r>
        <w:rPr>
          <w:rFonts w:ascii="Times New Roman" w:hAnsi="Times New Roman"/>
        </w:rPr>
        <w:t>), up from 1.3% today.</w:t>
      </w:r>
      <w:r>
        <w:rPr>
          <w:rStyle w:val="FootnoteReference"/>
          <w:rFonts w:ascii="Times New Roman" w:hAnsi="Times New Roman"/>
        </w:rPr>
        <w:footnoteReference w:id="40"/>
      </w:r>
      <w:r>
        <w:rPr>
          <w:rFonts w:ascii="Times New Roman" w:hAnsi="Times New Roman"/>
        </w:rPr>
        <w:t xml:space="preserve">  </w:t>
      </w:r>
    </w:p>
    <w:p w:rsidR="0098238B" w:rsidRDefault="0098238B" w:rsidP="0098238B">
      <w:pPr>
        <w:spacing w:line="480" w:lineRule="auto"/>
        <w:rPr>
          <w:rFonts w:ascii="Times New Roman" w:hAnsi="Times New Roman"/>
        </w:rPr>
      </w:pPr>
      <w:r>
        <w:rPr>
          <w:rFonts w:ascii="Times New Roman" w:hAnsi="Times New Roman"/>
        </w:rPr>
        <w:t xml:space="preserve">Unlike many of the Chinese government’s previous ventures into renewable energy policy, the </w:t>
      </w:r>
      <w:r w:rsidRPr="00D07643">
        <w:rPr>
          <w:rFonts w:ascii="Times New Roman" w:hAnsi="Times New Roman"/>
          <w:i/>
        </w:rPr>
        <w:t>Roadmap</w:t>
      </w:r>
      <w:r>
        <w:rPr>
          <w:rFonts w:ascii="Times New Roman" w:hAnsi="Times New Roman"/>
        </w:rPr>
        <w:t xml:space="preserve"> goes decades further:</w:t>
      </w:r>
    </w:p>
    <w:p w:rsidR="0098238B" w:rsidRDefault="0098238B" w:rsidP="0098238B">
      <w:pPr>
        <w:spacing w:line="480" w:lineRule="auto"/>
        <w:rPr>
          <w:rFonts w:ascii="Times New Roman" w:hAnsi="Times New Roman"/>
        </w:rPr>
      </w:pPr>
      <w:r>
        <w:rPr>
          <w:rFonts w:ascii="Times New Roman" w:hAnsi="Times New Roman"/>
        </w:rPr>
        <w:tab/>
        <w:t xml:space="preserve">Between 2020 and 2030, some 20 GW of wind capacity will be installed every year, to </w:t>
      </w:r>
      <w:r>
        <w:rPr>
          <w:rFonts w:ascii="Times New Roman" w:hAnsi="Times New Roman"/>
        </w:rPr>
        <w:tab/>
        <w:t xml:space="preserve">reach 400 GW in 2030, equivalent to 15% of all installed power capacity, covering 8.4% </w:t>
      </w:r>
      <w:r>
        <w:rPr>
          <w:rFonts w:ascii="Times New Roman" w:hAnsi="Times New Roman"/>
        </w:rPr>
        <w:tab/>
        <w:t xml:space="preserve">of electricity production (840 </w:t>
      </w:r>
      <w:proofErr w:type="spellStart"/>
      <w:r>
        <w:rPr>
          <w:rFonts w:ascii="Times New Roman" w:hAnsi="Times New Roman"/>
        </w:rPr>
        <w:t>TWh</w:t>
      </w:r>
      <w:proofErr w:type="spellEnd"/>
      <w:r>
        <w:rPr>
          <w:rFonts w:ascii="Times New Roman" w:hAnsi="Times New Roman"/>
        </w:rPr>
        <w:t xml:space="preserve">).  From then up to 2050, this roadmap sees </w:t>
      </w:r>
      <w:r>
        <w:rPr>
          <w:rFonts w:ascii="Times New Roman" w:hAnsi="Times New Roman"/>
        </w:rPr>
        <w:tab/>
        <w:t xml:space="preserve">deployment on land and offshore of 30 GW per annum, around half of annually installed </w:t>
      </w:r>
      <w:r>
        <w:rPr>
          <w:rFonts w:ascii="Times New Roman" w:hAnsi="Times New Roman"/>
        </w:rPr>
        <w:tab/>
        <w:t>power capacity, meeting 17% of total electricity production (2200TWh).</w:t>
      </w:r>
      <w:r>
        <w:rPr>
          <w:rStyle w:val="FootnoteReference"/>
          <w:rFonts w:ascii="Times New Roman" w:hAnsi="Times New Roman"/>
        </w:rPr>
        <w:footnoteReference w:id="41"/>
      </w:r>
    </w:p>
    <w:p w:rsidR="0098238B" w:rsidRDefault="0098238B" w:rsidP="0098238B">
      <w:pPr>
        <w:spacing w:line="480" w:lineRule="auto"/>
        <w:rPr>
          <w:rFonts w:ascii="Times New Roman" w:hAnsi="Times New Roman"/>
        </w:rPr>
      </w:pPr>
      <w:r>
        <w:rPr>
          <w:rFonts w:ascii="Times New Roman" w:hAnsi="Times New Roman"/>
        </w:rPr>
        <w:t xml:space="preserve">The </w:t>
      </w:r>
      <w:r>
        <w:rPr>
          <w:rFonts w:ascii="Times New Roman" w:hAnsi="Times New Roman"/>
          <w:i/>
        </w:rPr>
        <w:t>Roadmap</w:t>
      </w:r>
      <w:r>
        <w:rPr>
          <w:rFonts w:ascii="Times New Roman" w:hAnsi="Times New Roman"/>
        </w:rPr>
        <w:t xml:space="preserve"> therefore calls for intensive wind power development in both the short- and long-term.  The process proposed by the </w:t>
      </w:r>
      <w:r>
        <w:rPr>
          <w:rFonts w:ascii="Times New Roman" w:hAnsi="Times New Roman"/>
          <w:i/>
        </w:rPr>
        <w:t xml:space="preserve">Roadmap </w:t>
      </w:r>
      <w:r>
        <w:rPr>
          <w:rFonts w:ascii="Times New Roman" w:hAnsi="Times New Roman"/>
        </w:rPr>
        <w:t>demonstrates a reliance on the REL 2009 FIT mechanism as an important tool in meeting these goals, as do other actions taken by the NDRC following the 2009 REL amendment.</w:t>
      </w:r>
    </w:p>
    <w:p w:rsidR="0098238B" w:rsidRDefault="0098238B" w:rsidP="0098238B">
      <w:pPr>
        <w:spacing w:line="480" w:lineRule="auto"/>
        <w:rPr>
          <w:rFonts w:ascii="Times New Roman" w:hAnsi="Times New Roman"/>
        </w:rPr>
      </w:pPr>
      <w:r>
        <w:rPr>
          <w:rFonts w:ascii="Times New Roman" w:hAnsi="Times New Roman"/>
        </w:rPr>
        <w:tab/>
        <w:t xml:space="preserve">The power pricing system originally established by the 2006 REL allowed two pricing systems to coexist.  The franchise bidding, or competitive tender system had been established in 2003, and accounted for five rounds of bidding for major wind power projects between 2003 and </w:t>
      </w:r>
      <w:r>
        <w:rPr>
          <w:rFonts w:ascii="Times New Roman" w:hAnsi="Times New Roman"/>
        </w:rPr>
        <w:lastRenderedPageBreak/>
        <w:t>2008.</w:t>
      </w:r>
      <w:r>
        <w:rPr>
          <w:rStyle w:val="FootnoteReference"/>
          <w:rFonts w:ascii="Times New Roman" w:hAnsi="Times New Roman"/>
        </w:rPr>
        <w:footnoteReference w:id="42"/>
      </w:r>
      <w:r>
        <w:rPr>
          <w:rFonts w:ascii="Times New Roman" w:hAnsi="Times New Roman"/>
        </w:rPr>
        <w:t xml:space="preserve">  These bidding cycles resulted in dangerously low prices from the perspective of financial incentive-making, at first coming to 0.4 RMB/KWh and ultimately growing only to 0.5RMB/KWh.</w:t>
      </w:r>
      <w:r>
        <w:rPr>
          <w:rStyle w:val="FootnoteReference"/>
          <w:rFonts w:ascii="Times New Roman" w:hAnsi="Times New Roman"/>
        </w:rPr>
        <w:footnoteReference w:id="43"/>
      </w:r>
      <w:r>
        <w:rPr>
          <w:rFonts w:ascii="Times New Roman" w:hAnsi="Times New Roman"/>
        </w:rPr>
        <w:t xml:space="preserve">  International observers criticized this system for a lack of transparency and for perceived favoritism directed towards SOEs.</w:t>
      </w:r>
      <w:r>
        <w:rPr>
          <w:rStyle w:val="FootnoteReference"/>
          <w:rFonts w:ascii="Times New Roman" w:hAnsi="Times New Roman"/>
        </w:rPr>
        <w:footnoteReference w:id="44"/>
      </w:r>
      <w:r>
        <w:rPr>
          <w:rFonts w:ascii="Times New Roman" w:hAnsi="Times New Roman"/>
        </w:rPr>
        <w:t xml:space="preserve">  In addition, the competitive bidding process was not associated with established renewable policy goals, and so existed free of any link to a resource planning and portfolio management process.</w:t>
      </w:r>
      <w:r>
        <w:rPr>
          <w:rStyle w:val="FootnoteReference"/>
          <w:rFonts w:ascii="Times New Roman" w:hAnsi="Times New Roman"/>
        </w:rPr>
        <w:footnoteReference w:id="45"/>
      </w:r>
      <w:r>
        <w:rPr>
          <w:rFonts w:ascii="Times New Roman" w:hAnsi="Times New Roman"/>
        </w:rPr>
        <w:t xml:space="preserve">  While Chinese reports credit the competitive tender system with lowering power prices overall, providing for more consistent grid connection, and accelerated diversity of investment, the problems outweighed the system’s benefits.</w:t>
      </w:r>
      <w:r>
        <w:rPr>
          <w:rStyle w:val="FootnoteReference"/>
          <w:rFonts w:ascii="Times New Roman" w:hAnsi="Times New Roman"/>
        </w:rPr>
        <w:footnoteReference w:id="46"/>
      </w:r>
      <w:r>
        <w:rPr>
          <w:rFonts w:ascii="Times New Roman" w:hAnsi="Times New Roman"/>
        </w:rPr>
        <w:t xml:space="preserve">  In addition, the bidding system’s coexistence with the feed-in tariff program established by the REL 2006 exasperated the </w:t>
      </w:r>
      <w:r w:rsidR="00610911">
        <w:rPr>
          <w:rFonts w:ascii="Times New Roman" w:hAnsi="Times New Roman"/>
        </w:rPr>
        <w:t>problems of price uncertainty and</w:t>
      </w:r>
      <w:r>
        <w:rPr>
          <w:rFonts w:ascii="Times New Roman" w:hAnsi="Times New Roman"/>
        </w:rPr>
        <w:t xml:space="preserve"> lack of transparency.</w:t>
      </w:r>
      <w:r>
        <w:rPr>
          <w:rStyle w:val="FootnoteReference"/>
          <w:rFonts w:ascii="Times New Roman" w:hAnsi="Times New Roman"/>
        </w:rPr>
        <w:footnoteReference w:id="47"/>
      </w:r>
    </w:p>
    <w:p w:rsidR="0098238B" w:rsidRDefault="0098238B" w:rsidP="0098238B">
      <w:pPr>
        <w:spacing w:line="480" w:lineRule="auto"/>
        <w:rPr>
          <w:rFonts w:ascii="Times New Roman" w:hAnsi="Times New Roman"/>
        </w:rPr>
      </w:pPr>
      <w:r>
        <w:rPr>
          <w:rFonts w:ascii="Times New Roman" w:hAnsi="Times New Roman"/>
        </w:rPr>
        <w:tab/>
        <w:t>In 2009, the NDRC replaced the competitive bidding system with the feed-in tariff program established by the Renewable Energy Law.</w:t>
      </w:r>
      <w:r>
        <w:rPr>
          <w:rStyle w:val="FootnoteReference"/>
          <w:rFonts w:ascii="Times New Roman" w:hAnsi="Times New Roman"/>
        </w:rPr>
        <w:footnoteReference w:id="48"/>
      </w:r>
      <w:r>
        <w:rPr>
          <w:rFonts w:ascii="Times New Roman" w:hAnsi="Times New Roman"/>
        </w:rPr>
        <w:t xml:space="preserve">  The NDRC introduced this shift through the “Circular on Refining the Policy for On-Grid Pricing of Wind Power.”</w:t>
      </w:r>
      <w:r>
        <w:rPr>
          <w:rStyle w:val="FootnoteReference"/>
          <w:rFonts w:ascii="Times New Roman" w:hAnsi="Times New Roman"/>
        </w:rPr>
        <w:footnoteReference w:id="49"/>
      </w:r>
      <w:r>
        <w:rPr>
          <w:rFonts w:ascii="Times New Roman" w:hAnsi="Times New Roman"/>
        </w:rPr>
        <w:t xml:space="preserve">  This document established fixed, or benchmark prices applied to on-shore wind power projects approved after August 1, 2009.</w:t>
      </w:r>
      <w:r>
        <w:rPr>
          <w:rStyle w:val="FootnoteReference"/>
          <w:rFonts w:ascii="Times New Roman" w:hAnsi="Times New Roman"/>
        </w:rPr>
        <w:footnoteReference w:id="50"/>
      </w:r>
      <w:r>
        <w:rPr>
          <w:rFonts w:ascii="Times New Roman" w:hAnsi="Times New Roman"/>
        </w:rPr>
        <w:t xml:space="preserve">  The Circular divided China into four resource districts, with different prices, </w:t>
      </w:r>
      <w:r>
        <w:rPr>
          <w:rFonts w:ascii="Times New Roman" w:hAnsi="Times New Roman"/>
        </w:rPr>
        <w:lastRenderedPageBreak/>
        <w:t>or tariffs, set for each district.</w:t>
      </w:r>
      <w:r>
        <w:rPr>
          <w:rStyle w:val="FootnoteReference"/>
          <w:rFonts w:ascii="Times New Roman" w:hAnsi="Times New Roman"/>
        </w:rPr>
        <w:footnoteReference w:id="51"/>
      </w:r>
      <w:r>
        <w:rPr>
          <w:rFonts w:ascii="Times New Roman" w:hAnsi="Times New Roman"/>
        </w:rPr>
        <w:t xml:space="preserve">  Regional electricity tariffs vary in part according to the region’s existing on-line wind power capacity.  For example, Inner Mongolia has high capacity installed wind capacity, and so theoretically requires less financial incentive for wind power development, and was therefore granted a lower tariff of 0.51RMB/kWh.</w:t>
      </w:r>
      <w:r>
        <w:rPr>
          <w:rStyle w:val="FootnoteReference"/>
          <w:rFonts w:ascii="Times New Roman" w:hAnsi="Times New Roman"/>
        </w:rPr>
        <w:footnoteReference w:id="52"/>
      </w:r>
      <w:r>
        <w:rPr>
          <w:rFonts w:ascii="Times New Roman" w:hAnsi="Times New Roman"/>
        </w:rPr>
        <w:t xml:space="preserve">  Regions with the fewest wind resources, as in the Southeast, were granted higher tariffs of 0.79-0.89 RMB/kWh.</w:t>
      </w:r>
      <w:r>
        <w:rPr>
          <w:rStyle w:val="FootnoteReference"/>
          <w:rFonts w:ascii="Times New Roman" w:hAnsi="Times New Roman"/>
        </w:rPr>
        <w:footnoteReference w:id="53"/>
      </w:r>
    </w:p>
    <w:p w:rsidR="0098238B" w:rsidRDefault="0098238B" w:rsidP="0098238B">
      <w:pPr>
        <w:spacing w:line="480" w:lineRule="auto"/>
        <w:rPr>
          <w:rFonts w:ascii="Times New Roman" w:hAnsi="Times New Roman"/>
        </w:rPr>
      </w:pPr>
      <w:r>
        <w:rPr>
          <w:rFonts w:ascii="Times New Roman" w:hAnsi="Times New Roman"/>
        </w:rPr>
        <w:tab/>
        <w:t xml:space="preserve">The </w:t>
      </w:r>
      <w:r>
        <w:rPr>
          <w:rFonts w:ascii="Times New Roman" w:hAnsi="Times New Roman"/>
          <w:i/>
        </w:rPr>
        <w:t>Wind Energy Roadmap</w:t>
      </w:r>
      <w:r>
        <w:rPr>
          <w:rFonts w:ascii="Times New Roman" w:hAnsi="Times New Roman"/>
        </w:rPr>
        <w:t xml:space="preserve"> built on the policy platform established by the “Circular,” using the FIT as a primary mechanism to achieve its wind industry goals.  The Roadmap discussed the need to vary tariff pricing by region, and emphasizes the importance of providing grid access for wind power producers.</w:t>
      </w:r>
      <w:r>
        <w:rPr>
          <w:rStyle w:val="FootnoteReference"/>
          <w:rFonts w:ascii="Times New Roman" w:hAnsi="Times New Roman"/>
        </w:rPr>
        <w:footnoteReference w:id="54"/>
      </w:r>
      <w:r>
        <w:rPr>
          <w:rFonts w:ascii="Times New Roman" w:hAnsi="Times New Roman"/>
        </w:rPr>
        <w:t xml:space="preserve">  In the “Key Actions to 2020” section, the Roadmap calls for the following:</w:t>
      </w:r>
    </w:p>
    <w:p w:rsidR="0098238B" w:rsidRDefault="0098238B" w:rsidP="0098238B">
      <w:pPr>
        <w:spacing w:line="480" w:lineRule="auto"/>
        <w:rPr>
          <w:rFonts w:ascii="Times New Roman" w:hAnsi="Times New Roman"/>
        </w:rPr>
      </w:pPr>
      <w:r>
        <w:rPr>
          <w:rFonts w:ascii="Times New Roman" w:hAnsi="Times New Roman"/>
        </w:rPr>
        <w:tab/>
        <w:t xml:space="preserve">Strengthen priority grid access and dispatch of wind power; </w:t>
      </w:r>
      <w:r w:rsidR="00FE3CCC">
        <w:rPr>
          <w:rFonts w:ascii="Times New Roman" w:hAnsi="Times New Roman"/>
        </w:rPr>
        <w:t>maximize</w:t>
      </w:r>
      <w:r>
        <w:rPr>
          <w:rFonts w:ascii="Times New Roman" w:hAnsi="Times New Roman"/>
        </w:rPr>
        <w:t xml:space="preserve"> the ability of </w:t>
      </w:r>
      <w:r>
        <w:rPr>
          <w:rFonts w:ascii="Times New Roman" w:hAnsi="Times New Roman"/>
        </w:rPr>
        <w:tab/>
      </w:r>
      <w:proofErr w:type="gramStart"/>
      <w:r>
        <w:rPr>
          <w:rFonts w:ascii="Times New Roman" w:hAnsi="Times New Roman"/>
        </w:rPr>
        <w:t>northern</w:t>
      </w:r>
      <w:proofErr w:type="gramEnd"/>
      <w:r>
        <w:rPr>
          <w:rFonts w:ascii="Times New Roman" w:hAnsi="Times New Roman"/>
        </w:rPr>
        <w:t xml:space="preserve"> provinces to accommodate locally produced wind power; facilitate inter-</w:t>
      </w:r>
      <w:r>
        <w:rPr>
          <w:rFonts w:ascii="Times New Roman" w:hAnsi="Times New Roman"/>
        </w:rPr>
        <w:tab/>
        <w:t>provincial transmission using smartest available technology.</w:t>
      </w:r>
      <w:r>
        <w:rPr>
          <w:rStyle w:val="FootnoteReference"/>
          <w:rFonts w:ascii="Times New Roman" w:hAnsi="Times New Roman"/>
        </w:rPr>
        <w:footnoteReference w:id="55"/>
      </w:r>
    </w:p>
    <w:p w:rsidR="0076240D" w:rsidRDefault="0098238B" w:rsidP="0098238B">
      <w:pPr>
        <w:spacing w:line="480" w:lineRule="auto"/>
        <w:rPr>
          <w:rFonts w:ascii="Times New Roman" w:hAnsi="Times New Roman"/>
        </w:rPr>
      </w:pPr>
      <w:r>
        <w:rPr>
          <w:rFonts w:ascii="Times New Roman" w:hAnsi="Times New Roman"/>
        </w:rPr>
        <w:t>The continuing need to address technological and institutional challenges in China’s electricity system is apparent here.  The Roadmap, for example, predicts a maximum tariff of only 0.55 RMB/kWh by 2020, based on improvements in the overall investment environment.</w:t>
      </w:r>
      <w:r>
        <w:rPr>
          <w:rStyle w:val="FootnoteReference"/>
          <w:rFonts w:ascii="Times New Roman" w:hAnsi="Times New Roman"/>
        </w:rPr>
        <w:footnoteReference w:id="56"/>
      </w:r>
      <w:r>
        <w:rPr>
          <w:rFonts w:ascii="Times New Roman" w:hAnsi="Times New Roman"/>
        </w:rPr>
        <w:t xml:space="preserve">  Such improved investment environment </w:t>
      </w:r>
      <w:r w:rsidR="00FE3CCC">
        <w:rPr>
          <w:rFonts w:ascii="Times New Roman" w:hAnsi="Times New Roman"/>
        </w:rPr>
        <w:t>will</w:t>
      </w:r>
      <w:r>
        <w:rPr>
          <w:rFonts w:ascii="Times New Roman" w:hAnsi="Times New Roman"/>
        </w:rPr>
        <w:t xml:space="preserve"> require improved, “smarter” electrical grids, significant changes to the transport </w:t>
      </w:r>
      <w:r w:rsidR="00F90CA2">
        <w:rPr>
          <w:rFonts w:ascii="Times New Roman" w:hAnsi="Times New Roman"/>
        </w:rPr>
        <w:t>infrastructure</w:t>
      </w:r>
      <w:r>
        <w:rPr>
          <w:rFonts w:ascii="Times New Roman" w:hAnsi="Times New Roman"/>
        </w:rPr>
        <w:t xml:space="preserve">, and better communication and cooperation between regional grid operators.  </w:t>
      </w:r>
    </w:p>
    <w:p w:rsidR="0076240D" w:rsidRDefault="0076240D" w:rsidP="0098238B">
      <w:pPr>
        <w:spacing w:line="480" w:lineRule="auto"/>
        <w:rPr>
          <w:rFonts w:ascii="Times New Roman" w:hAnsi="Times New Roman"/>
        </w:rPr>
      </w:pPr>
    </w:p>
    <w:p w:rsidR="0076240D" w:rsidRDefault="0076240D" w:rsidP="0076240D">
      <w:pPr>
        <w:spacing w:line="480" w:lineRule="auto"/>
        <w:rPr>
          <w:rFonts w:ascii="Times New Roman" w:hAnsi="Times New Roman"/>
        </w:rPr>
      </w:pPr>
      <w:r>
        <w:rPr>
          <w:rFonts w:ascii="Times New Roman" w:hAnsi="Times New Roman"/>
        </w:rPr>
        <w:lastRenderedPageBreak/>
        <w:t>VI</w:t>
      </w:r>
      <w:proofErr w:type="gramStart"/>
      <w:r>
        <w:rPr>
          <w:rFonts w:ascii="Times New Roman" w:hAnsi="Times New Roman"/>
        </w:rPr>
        <w:t xml:space="preserve">.  </w:t>
      </w:r>
      <w:r w:rsidRPr="00275895">
        <w:rPr>
          <w:rFonts w:ascii="Times New Roman" w:hAnsi="Times New Roman"/>
          <w:u w:val="single"/>
        </w:rPr>
        <w:t>Current</w:t>
      </w:r>
      <w:proofErr w:type="gramEnd"/>
      <w:r w:rsidRPr="00275895">
        <w:rPr>
          <w:rFonts w:ascii="Times New Roman" w:hAnsi="Times New Roman"/>
          <w:u w:val="single"/>
        </w:rPr>
        <w:t xml:space="preserve"> status of Wind in China’s Electrical System, and Challenges Facing Implementation of REL requirements and FYP Targets</w:t>
      </w:r>
      <w:r>
        <w:rPr>
          <w:rFonts w:ascii="Times New Roman" w:hAnsi="Times New Roman"/>
        </w:rPr>
        <w:t xml:space="preserve">.  </w:t>
      </w:r>
    </w:p>
    <w:p w:rsidR="0076240D" w:rsidRDefault="0076240D" w:rsidP="0076240D">
      <w:pPr>
        <w:spacing w:line="480" w:lineRule="auto"/>
        <w:rPr>
          <w:rFonts w:ascii="Times New Roman" w:hAnsi="Times New Roman"/>
        </w:rPr>
      </w:pPr>
      <w:r>
        <w:rPr>
          <w:rFonts w:ascii="Times New Roman" w:hAnsi="Times New Roman"/>
        </w:rPr>
        <w:tab/>
        <w:t>As reported in many international press outlets, as of 2009 some 30% of wind capacity installed in China, and particularly in Inner Mongolia, had yet to be connected to the grid.</w:t>
      </w:r>
      <w:r>
        <w:rPr>
          <w:rStyle w:val="FootnoteReference"/>
          <w:rFonts w:ascii="Times New Roman" w:hAnsi="Times New Roman"/>
        </w:rPr>
        <w:footnoteReference w:id="57"/>
      </w:r>
      <w:r>
        <w:rPr>
          <w:rFonts w:ascii="Times New Roman" w:hAnsi="Times New Roman"/>
        </w:rPr>
        <w:t xml:space="preserve">  This statistic is often cited as a sign of systemic weakness in local enforcement of the REL 2009 and its required FIT.  Questions involving any lack of central authority in local enforcement and interpretation of laws aside, there are basic technological obstacles that have interfered with grid connection at a basic level.  </w:t>
      </w:r>
    </w:p>
    <w:p w:rsidR="0076240D" w:rsidRDefault="0076240D" w:rsidP="0076240D">
      <w:pPr>
        <w:spacing w:line="480" w:lineRule="auto"/>
        <w:rPr>
          <w:rFonts w:ascii="Times New Roman" w:hAnsi="Times New Roman"/>
        </w:rPr>
      </w:pPr>
      <w:r>
        <w:rPr>
          <w:rFonts w:ascii="Times New Roman" w:hAnsi="Times New Roman"/>
        </w:rPr>
        <w:tab/>
        <w:t>Standardization across China’s electrical infrastructure, especially in matters of load-bearing flexibility, is lacking.  Wind powered electrical generation results in a highly variable electrical load, very much unlike that produced by coal-fired generation, and therefore unlike the typical load experienced in China’s electrical grids.  Wind generation installations can address the problem of variability through the integration of low-voltage ride-through (LVRT) systems.</w:t>
      </w:r>
      <w:r>
        <w:rPr>
          <w:rStyle w:val="FootnoteReference"/>
          <w:rFonts w:ascii="Times New Roman" w:hAnsi="Times New Roman"/>
        </w:rPr>
        <w:footnoteReference w:id="58"/>
      </w:r>
      <w:r>
        <w:rPr>
          <w:rFonts w:ascii="Times New Roman" w:hAnsi="Times New Roman"/>
        </w:rPr>
        <w:t xml:space="preserve">  At lower capacity levels, a local grid can typically absorb the fluctuations caused by variable electricity generators, but at higher capacity levels the combined variation can overload grid connections.  At present, central government organs have moved towards addressing this problem.  As noted by a recent article in the </w:t>
      </w:r>
      <w:r w:rsidRPr="00382C7C">
        <w:rPr>
          <w:rFonts w:ascii="Times New Roman" w:hAnsi="Times New Roman"/>
          <w:i/>
        </w:rPr>
        <w:t>Financial Times</w:t>
      </w:r>
      <w:r>
        <w:rPr>
          <w:rFonts w:ascii="Times New Roman" w:hAnsi="Times New Roman"/>
        </w:rPr>
        <w:t>,</w:t>
      </w:r>
    </w:p>
    <w:p w:rsidR="0076240D" w:rsidRDefault="0076240D" w:rsidP="0076240D">
      <w:pPr>
        <w:spacing w:line="480" w:lineRule="auto"/>
        <w:rPr>
          <w:rFonts w:ascii="Times New Roman" w:hAnsi="Times New Roman"/>
        </w:rPr>
      </w:pPr>
      <w:r>
        <w:rPr>
          <w:rFonts w:ascii="Times New Roman" w:hAnsi="Times New Roman"/>
        </w:rPr>
        <w:tab/>
        <w:t xml:space="preserve">LVRT systems help keep wind turbines in operation whenever there are large drops in </w:t>
      </w:r>
      <w:r>
        <w:rPr>
          <w:rFonts w:ascii="Times New Roman" w:hAnsi="Times New Roman"/>
        </w:rPr>
        <w:tab/>
        <w:t xml:space="preserve">voltage, like when the wind dies down for example.  Without these systems, wind </w:t>
      </w:r>
      <w:r>
        <w:rPr>
          <w:rFonts w:ascii="Times New Roman" w:hAnsi="Times New Roman"/>
        </w:rPr>
        <w:tab/>
        <w:t xml:space="preserve">turbines will just disconnect from the power grid.  To pass the SERC inspections, existing </w:t>
      </w:r>
      <w:r>
        <w:rPr>
          <w:rFonts w:ascii="Times New Roman" w:hAnsi="Times New Roman"/>
        </w:rPr>
        <w:lastRenderedPageBreak/>
        <w:tab/>
        <w:t xml:space="preserve">wind farms were required to upgrade these LVRT systems, said industry sources in </w:t>
      </w:r>
      <w:r>
        <w:rPr>
          <w:rFonts w:ascii="Times New Roman" w:hAnsi="Times New Roman"/>
        </w:rPr>
        <w:tab/>
        <w:t>China.</w:t>
      </w:r>
      <w:r>
        <w:rPr>
          <w:rStyle w:val="FootnoteReference"/>
          <w:rFonts w:ascii="Times New Roman" w:hAnsi="Times New Roman"/>
        </w:rPr>
        <w:footnoteReference w:id="59"/>
      </w:r>
      <w:r>
        <w:rPr>
          <w:rFonts w:ascii="Times New Roman" w:hAnsi="Times New Roman"/>
        </w:rPr>
        <w:t xml:space="preserve">  </w:t>
      </w:r>
    </w:p>
    <w:p w:rsidR="0076240D" w:rsidRDefault="0076240D" w:rsidP="0076240D">
      <w:pPr>
        <w:spacing w:line="480" w:lineRule="auto"/>
        <w:rPr>
          <w:rFonts w:ascii="Times New Roman" w:hAnsi="Times New Roman"/>
        </w:rPr>
      </w:pPr>
      <w:r>
        <w:rPr>
          <w:rFonts w:ascii="Times New Roman" w:hAnsi="Times New Roman"/>
        </w:rPr>
        <w:t xml:space="preserve">However, refitting existing wind installations with LVRT systems will prove to be a challenge given the industry’s growth over the past five years.  In addition, whether the SERC inspections are carried out by officials connected to central government organs, rather than the local peoples’ governments, will continue to make a difference.  </w:t>
      </w:r>
    </w:p>
    <w:p w:rsidR="0076240D" w:rsidRDefault="0076240D" w:rsidP="0076240D">
      <w:pPr>
        <w:spacing w:line="480" w:lineRule="auto"/>
        <w:rPr>
          <w:rFonts w:ascii="Times New Roman" w:hAnsi="Times New Roman"/>
        </w:rPr>
      </w:pPr>
      <w:r>
        <w:rPr>
          <w:rFonts w:ascii="Times New Roman" w:hAnsi="Times New Roman"/>
        </w:rPr>
        <w:tab/>
        <w:t>Other challenges to renewable energy source integration include regional electricity transmission.  China’s electrical system is divided into six regional grid clusters, each of which operates with relative independence.</w:t>
      </w:r>
      <w:r>
        <w:rPr>
          <w:rStyle w:val="FootnoteReference"/>
          <w:rFonts w:ascii="Times New Roman" w:hAnsi="Times New Roman"/>
        </w:rPr>
        <w:footnoteReference w:id="60"/>
      </w:r>
      <w:r>
        <w:rPr>
          <w:rFonts w:ascii="Times New Roman" w:hAnsi="Times New Roman"/>
        </w:rPr>
        <w:t xml:space="preserve">  The East, Central, Northeast, and Northwest grids are operated by the State Grid Corporation of China (SGCC), which also operates part of the North grid.</w:t>
      </w:r>
      <w:r>
        <w:rPr>
          <w:rStyle w:val="FootnoteReference"/>
          <w:rFonts w:ascii="Times New Roman" w:hAnsi="Times New Roman"/>
        </w:rPr>
        <w:footnoteReference w:id="61"/>
      </w:r>
      <w:r>
        <w:rPr>
          <w:rFonts w:ascii="Times New Roman" w:hAnsi="Times New Roman"/>
        </w:rPr>
        <w:t xml:space="preserve">  The China Southern Grid Company (CSGC) manages the South grid, while the western part of the Mongolia grid is managed by an independent company.</w:t>
      </w:r>
      <w:r>
        <w:rPr>
          <w:rStyle w:val="FootnoteReference"/>
          <w:rFonts w:ascii="Times New Roman" w:hAnsi="Times New Roman"/>
        </w:rPr>
        <w:footnoteReference w:id="62"/>
      </w:r>
      <w:r>
        <w:rPr>
          <w:rFonts w:ascii="Times New Roman" w:hAnsi="Times New Roman"/>
        </w:rPr>
        <w:t xml:space="preserve">  Communication between the grids, and particularly between grid companies, is minimal.  Inter-grid trade in electricity is also minimal, and in 2009 accounted for only 4% of total national production.</w:t>
      </w:r>
      <w:r>
        <w:rPr>
          <w:rStyle w:val="FootnoteReference"/>
          <w:rFonts w:ascii="Times New Roman" w:hAnsi="Times New Roman"/>
        </w:rPr>
        <w:footnoteReference w:id="63"/>
      </w:r>
    </w:p>
    <w:p w:rsidR="0076240D" w:rsidRDefault="0076240D" w:rsidP="0076240D">
      <w:pPr>
        <w:spacing w:line="480" w:lineRule="auto"/>
        <w:rPr>
          <w:rFonts w:ascii="Times New Roman" w:hAnsi="Times New Roman"/>
        </w:rPr>
      </w:pPr>
      <w:r>
        <w:rPr>
          <w:rFonts w:ascii="Times New Roman" w:hAnsi="Times New Roman"/>
        </w:rPr>
        <w:tab/>
        <w:t>Forging stronger connections between separate electrical grids could do much to compensate for the power fluctuations brought on by the large-scale incorporation of variable renewable power sources.</w:t>
      </w:r>
      <w:r>
        <w:rPr>
          <w:rStyle w:val="FootnoteReference"/>
          <w:rFonts w:ascii="Times New Roman" w:hAnsi="Times New Roman"/>
        </w:rPr>
        <w:footnoteReference w:id="64"/>
      </w:r>
      <w:r>
        <w:rPr>
          <w:rFonts w:ascii="Times New Roman" w:hAnsi="Times New Roman"/>
        </w:rPr>
        <w:t xml:space="preserve">  The 12th Five Year Plan includes the goal of developing national-level smart grid technology, which likely requires greater national grid connection of itself.  </w:t>
      </w:r>
      <w:r>
        <w:rPr>
          <w:rFonts w:ascii="Times New Roman" w:hAnsi="Times New Roman"/>
        </w:rPr>
        <w:lastRenderedPageBreak/>
        <w:t xml:space="preserve">Meanwhile, the two national grid companies have begun to develop their own smart grid plans, which in the future might provide for greater ease of connection, and so greater integration of renewable sources.  </w:t>
      </w:r>
    </w:p>
    <w:p w:rsidR="0076240D" w:rsidRDefault="0076240D" w:rsidP="0076240D">
      <w:pPr>
        <w:spacing w:line="480" w:lineRule="auto"/>
        <w:rPr>
          <w:rFonts w:ascii="Times New Roman" w:hAnsi="Times New Roman"/>
        </w:rPr>
      </w:pPr>
      <w:r>
        <w:rPr>
          <w:rFonts w:ascii="Times New Roman" w:hAnsi="Times New Roman"/>
        </w:rPr>
        <w:tab/>
        <w:t xml:space="preserve">An additional example of the REL feed-in tariff’s reliance on technological improvement comes in the form of efficient high-voltage transmission.  While Inner Mongolia’s coal reserves, for example, can be shipped to population centers to be used for fuel, in the case of Inner Mongolia’s wind potential the </w:t>
      </w:r>
      <w:r w:rsidR="00FE3CCC">
        <w:rPr>
          <w:rFonts w:ascii="Times New Roman" w:hAnsi="Times New Roman"/>
        </w:rPr>
        <w:t>electricity</w:t>
      </w:r>
      <w:r>
        <w:rPr>
          <w:rFonts w:ascii="Times New Roman" w:hAnsi="Times New Roman"/>
        </w:rPr>
        <w:t xml:space="preserve"> must be generated on site, and then transmitted great distances.  At present local incentives to comply with the REL depend on the central government’s ability to provide for both necessary grid flexibility and for efficient and high-volume long-range transmission.  </w:t>
      </w:r>
    </w:p>
    <w:p w:rsidR="0076240D" w:rsidRDefault="0076240D" w:rsidP="004B3751">
      <w:pPr>
        <w:spacing w:line="480" w:lineRule="auto"/>
        <w:rPr>
          <w:rFonts w:ascii="Times New Roman" w:hAnsi="Times New Roman"/>
        </w:rPr>
      </w:pPr>
      <w:r>
        <w:rPr>
          <w:rFonts w:ascii="Times New Roman" w:hAnsi="Times New Roman"/>
        </w:rPr>
        <w:tab/>
        <w:t xml:space="preserve">Finally, integration of renewable energy sources and enforcement of the REL face challenges in the form of the </w:t>
      </w:r>
      <w:r w:rsidR="00FE3CCC">
        <w:rPr>
          <w:rFonts w:ascii="Times New Roman" w:hAnsi="Times New Roman"/>
        </w:rPr>
        <w:t>institutional</w:t>
      </w:r>
      <w:r>
        <w:rPr>
          <w:rFonts w:ascii="Times New Roman" w:hAnsi="Times New Roman"/>
        </w:rPr>
        <w:t xml:space="preserve"> structure of China’s electricity industry.  While the FIT is market based, in that it relies on investment incentives to drive development, China’s electricity sector has never adopted an international-style cost of service model.</w:t>
      </w:r>
      <w:r>
        <w:rPr>
          <w:rStyle w:val="FootnoteReference"/>
          <w:rFonts w:ascii="Times New Roman" w:hAnsi="Times New Roman"/>
        </w:rPr>
        <w:footnoteReference w:id="65"/>
      </w:r>
      <w:r>
        <w:rPr>
          <w:rFonts w:ascii="Times New Roman" w:hAnsi="Times New Roman"/>
        </w:rPr>
        <w:t xml:space="preserve">  While the goal of a feed-in tariff is to carve out market space for the integration of renewable energy producers, China’s electricity sector, being largely </w:t>
      </w:r>
      <w:r w:rsidR="00FE3CCC">
        <w:rPr>
          <w:rFonts w:ascii="Times New Roman" w:hAnsi="Times New Roman"/>
        </w:rPr>
        <w:t>controlled</w:t>
      </w:r>
      <w:r>
        <w:rPr>
          <w:rFonts w:ascii="Times New Roman" w:hAnsi="Times New Roman"/>
        </w:rPr>
        <w:t xml:space="preserve"> by the two grid companies and the NDRC, does not traditionally respond in a market-based manner.  Instead, the electricity sector continues to show the characteristics of a planned economy, where the FIT model was originally developed for the regulated, rate-based financing systems found in Europe and North America.</w:t>
      </w:r>
      <w:r>
        <w:rPr>
          <w:rStyle w:val="FootnoteReference"/>
          <w:rFonts w:ascii="Times New Roman" w:hAnsi="Times New Roman"/>
        </w:rPr>
        <w:footnoteReference w:id="66"/>
      </w:r>
    </w:p>
    <w:p w:rsidR="0076240D" w:rsidRDefault="0076240D" w:rsidP="004B3751">
      <w:pPr>
        <w:spacing w:line="480" w:lineRule="auto"/>
        <w:rPr>
          <w:rFonts w:ascii="Times New Roman" w:hAnsi="Times New Roman"/>
        </w:rPr>
      </w:pPr>
    </w:p>
    <w:p w:rsidR="0076240D" w:rsidRDefault="0076240D" w:rsidP="0076240D">
      <w:pPr>
        <w:spacing w:line="480" w:lineRule="auto"/>
        <w:rPr>
          <w:rFonts w:ascii="Times New Roman" w:hAnsi="Times New Roman"/>
        </w:rPr>
      </w:pPr>
      <w:r>
        <w:rPr>
          <w:rFonts w:ascii="Times New Roman" w:hAnsi="Times New Roman"/>
        </w:rPr>
        <w:t>VI</w:t>
      </w:r>
      <w:proofErr w:type="gramStart"/>
      <w:r>
        <w:rPr>
          <w:rFonts w:ascii="Times New Roman" w:hAnsi="Times New Roman"/>
        </w:rPr>
        <w:t xml:space="preserve">.  </w:t>
      </w:r>
      <w:r w:rsidR="00374D4A">
        <w:rPr>
          <w:rFonts w:ascii="Times New Roman" w:hAnsi="Times New Roman"/>
          <w:u w:val="single"/>
        </w:rPr>
        <w:t>The</w:t>
      </w:r>
      <w:proofErr w:type="gramEnd"/>
      <w:r w:rsidR="00374D4A">
        <w:rPr>
          <w:rFonts w:ascii="Times New Roman" w:hAnsi="Times New Roman"/>
          <w:u w:val="single"/>
        </w:rPr>
        <w:t xml:space="preserve"> C</w:t>
      </w:r>
      <w:r w:rsidR="00550AA5">
        <w:rPr>
          <w:rFonts w:ascii="Times New Roman" w:hAnsi="Times New Roman"/>
          <w:u w:val="single"/>
        </w:rPr>
        <w:t>lean Development Mechanism: support for the REL in promoting wind power development</w:t>
      </w:r>
      <w:r>
        <w:rPr>
          <w:rFonts w:ascii="Times New Roman" w:hAnsi="Times New Roman"/>
        </w:rPr>
        <w:t>.</w:t>
      </w:r>
    </w:p>
    <w:p w:rsidR="0076240D" w:rsidRDefault="0076240D" w:rsidP="004B3751">
      <w:pPr>
        <w:spacing w:line="480" w:lineRule="auto"/>
        <w:rPr>
          <w:rFonts w:ascii="Times New Roman" w:hAnsi="Times New Roman"/>
        </w:rPr>
      </w:pPr>
    </w:p>
    <w:p w:rsidR="00FC4CFC" w:rsidRDefault="0076240D" w:rsidP="004B3751">
      <w:pPr>
        <w:spacing w:line="480" w:lineRule="auto"/>
        <w:rPr>
          <w:rFonts w:ascii="Times New Roman" w:hAnsi="Times New Roman"/>
        </w:rPr>
      </w:pPr>
      <w:r>
        <w:rPr>
          <w:rFonts w:ascii="Times New Roman" w:hAnsi="Times New Roman"/>
        </w:rPr>
        <w:tab/>
      </w:r>
      <w:r w:rsidR="00A2056B">
        <w:rPr>
          <w:rFonts w:ascii="Times New Roman" w:hAnsi="Times New Roman"/>
        </w:rPr>
        <w:t>While the REL 2009 has been instrumental in directing wind power de</w:t>
      </w:r>
      <w:r w:rsidR="006D3F55">
        <w:rPr>
          <w:rFonts w:ascii="Times New Roman" w:hAnsi="Times New Roman"/>
        </w:rPr>
        <w:t xml:space="preserve">velopment in China, it must share credit with the </w:t>
      </w:r>
      <w:r w:rsidR="003E2938">
        <w:rPr>
          <w:rFonts w:ascii="Times New Roman" w:hAnsi="Times New Roman"/>
        </w:rPr>
        <w:t xml:space="preserve">Clean Development Mechanism </w:t>
      </w:r>
      <w:r w:rsidR="002D081D">
        <w:rPr>
          <w:rFonts w:ascii="Times New Roman" w:hAnsi="Times New Roman"/>
        </w:rPr>
        <w:t xml:space="preserve">(CDM) </w:t>
      </w:r>
      <w:r w:rsidR="003E2938">
        <w:rPr>
          <w:rFonts w:ascii="Times New Roman" w:hAnsi="Times New Roman"/>
        </w:rPr>
        <w:t>established by</w:t>
      </w:r>
      <w:r w:rsidR="002A2F5A">
        <w:rPr>
          <w:rFonts w:ascii="Times New Roman" w:hAnsi="Times New Roman"/>
        </w:rPr>
        <w:t xml:space="preserve"> Article 12 of</w:t>
      </w:r>
      <w:r w:rsidR="003E2938">
        <w:rPr>
          <w:rFonts w:ascii="Times New Roman" w:hAnsi="Times New Roman"/>
        </w:rPr>
        <w:t xml:space="preserve"> the Kyoto Protocol.  </w:t>
      </w:r>
      <w:r w:rsidR="00A257F6">
        <w:rPr>
          <w:rFonts w:ascii="Times New Roman" w:hAnsi="Times New Roman"/>
        </w:rPr>
        <w:t>Pursuant to the CDM, a count</w:t>
      </w:r>
      <w:r w:rsidR="00BD3441">
        <w:rPr>
          <w:rFonts w:ascii="Times New Roman" w:hAnsi="Times New Roman"/>
        </w:rPr>
        <w:t>r</w:t>
      </w:r>
      <w:r w:rsidR="00A257F6">
        <w:rPr>
          <w:rFonts w:ascii="Times New Roman" w:hAnsi="Times New Roman"/>
        </w:rPr>
        <w:t xml:space="preserve">y </w:t>
      </w:r>
      <w:r w:rsidR="00FE3CCC">
        <w:rPr>
          <w:rFonts w:ascii="Times New Roman" w:hAnsi="Times New Roman"/>
        </w:rPr>
        <w:t>committed</w:t>
      </w:r>
      <w:r w:rsidR="00A257F6">
        <w:rPr>
          <w:rFonts w:ascii="Times New Roman" w:hAnsi="Times New Roman"/>
        </w:rPr>
        <w:t xml:space="preserve"> to emissions reduction or limitation</w:t>
      </w:r>
      <w:r w:rsidR="001854D6">
        <w:rPr>
          <w:rFonts w:ascii="Times New Roman" w:hAnsi="Times New Roman"/>
        </w:rPr>
        <w:t xml:space="preserve"> (an Annex I</w:t>
      </w:r>
      <w:r w:rsidR="00A257F6">
        <w:rPr>
          <w:rFonts w:ascii="Times New Roman" w:hAnsi="Times New Roman"/>
        </w:rPr>
        <w:t xml:space="preserve"> country) can finance an emission-reduction project in a developing country</w:t>
      </w:r>
      <w:r w:rsidR="001854D6">
        <w:rPr>
          <w:rFonts w:ascii="Times New Roman" w:hAnsi="Times New Roman"/>
        </w:rPr>
        <w:t>.</w:t>
      </w:r>
      <w:r w:rsidR="001854D6">
        <w:rPr>
          <w:rStyle w:val="FootnoteReference"/>
          <w:rFonts w:ascii="Times New Roman" w:hAnsi="Times New Roman"/>
        </w:rPr>
        <w:footnoteReference w:id="67"/>
      </w:r>
      <w:r w:rsidR="0096267C">
        <w:rPr>
          <w:rFonts w:ascii="Times New Roman" w:hAnsi="Times New Roman"/>
        </w:rPr>
        <w:t xml:space="preserve">  </w:t>
      </w:r>
      <w:r w:rsidR="009440E7">
        <w:rPr>
          <w:rFonts w:ascii="Times New Roman" w:hAnsi="Times New Roman"/>
        </w:rPr>
        <w:t xml:space="preserve">Annex I countries earn certified emission reduction credits (CERs) from such projects, each of which </w:t>
      </w:r>
      <w:r w:rsidR="00EB62D3">
        <w:rPr>
          <w:rFonts w:ascii="Times New Roman" w:hAnsi="Times New Roman"/>
        </w:rPr>
        <w:t xml:space="preserve">is equivalent to one ton of CO2 and which counts towards </w:t>
      </w:r>
      <w:r w:rsidR="007265E4">
        <w:rPr>
          <w:rFonts w:ascii="Times New Roman" w:hAnsi="Times New Roman"/>
        </w:rPr>
        <w:t>Kyoto Protocol targets.</w:t>
      </w:r>
      <w:r w:rsidR="00932ED2">
        <w:rPr>
          <w:rStyle w:val="FootnoteReference"/>
          <w:rFonts w:ascii="Times New Roman" w:hAnsi="Times New Roman"/>
        </w:rPr>
        <w:footnoteReference w:id="68"/>
      </w:r>
      <w:r w:rsidR="00EE1FE4">
        <w:rPr>
          <w:rFonts w:ascii="Times New Roman" w:hAnsi="Times New Roman"/>
        </w:rPr>
        <w:t xml:space="preserve">  </w:t>
      </w:r>
      <w:r w:rsidR="00722DDD">
        <w:rPr>
          <w:rFonts w:ascii="Times New Roman" w:hAnsi="Times New Roman"/>
        </w:rPr>
        <w:t>However, CER credits are only valid if the project at hand results in emissions reductions that are additional to the reductions that would have occurred in absence of CDM funding.</w:t>
      </w:r>
      <w:r w:rsidR="00222D48">
        <w:rPr>
          <w:rStyle w:val="FootnoteReference"/>
          <w:rFonts w:ascii="Times New Roman" w:hAnsi="Times New Roman"/>
        </w:rPr>
        <w:footnoteReference w:id="69"/>
      </w:r>
      <w:r w:rsidR="004E20F7">
        <w:rPr>
          <w:rFonts w:ascii="Times New Roman" w:hAnsi="Times New Roman"/>
        </w:rPr>
        <w:t xml:space="preserve">  This last requirement is known widely as the doctrine of “</w:t>
      </w:r>
      <w:proofErr w:type="spellStart"/>
      <w:r w:rsidR="004E20F7">
        <w:rPr>
          <w:rFonts w:ascii="Times New Roman" w:hAnsi="Times New Roman"/>
        </w:rPr>
        <w:t>additionality</w:t>
      </w:r>
      <w:proofErr w:type="spellEnd"/>
      <w:r w:rsidR="004E20F7">
        <w:rPr>
          <w:rFonts w:ascii="Times New Roman" w:hAnsi="Times New Roman"/>
        </w:rPr>
        <w:t>.”</w:t>
      </w:r>
    </w:p>
    <w:p w:rsidR="00CB72AA" w:rsidRDefault="004E20F7" w:rsidP="004B3751">
      <w:pPr>
        <w:spacing w:line="480" w:lineRule="auto"/>
        <w:rPr>
          <w:rFonts w:ascii="Times New Roman" w:hAnsi="Times New Roman"/>
        </w:rPr>
      </w:pPr>
      <w:r>
        <w:rPr>
          <w:rFonts w:ascii="Times New Roman" w:hAnsi="Times New Roman"/>
        </w:rPr>
        <w:tab/>
      </w:r>
      <w:r w:rsidR="00591267">
        <w:rPr>
          <w:rFonts w:ascii="Times New Roman" w:hAnsi="Times New Roman"/>
        </w:rPr>
        <w:t xml:space="preserve">The purchase and sale of CERs </w:t>
      </w:r>
      <w:r w:rsidR="00450C8F">
        <w:rPr>
          <w:rFonts w:ascii="Times New Roman" w:hAnsi="Times New Roman"/>
        </w:rPr>
        <w:t>produced by China-based</w:t>
      </w:r>
      <w:r w:rsidR="007B5086">
        <w:rPr>
          <w:rFonts w:ascii="Times New Roman" w:hAnsi="Times New Roman"/>
        </w:rPr>
        <w:t xml:space="preserve"> wind power projects has proven to be a significant source of capital for China’s wind power developers.  </w:t>
      </w:r>
      <w:r w:rsidR="003A42D8">
        <w:rPr>
          <w:rFonts w:ascii="Times New Roman" w:hAnsi="Times New Roman"/>
        </w:rPr>
        <w:t>As of 2010, roughly half of the CERs in circulation were produced by projects in China, with roughly one third of China’s CERs being produced by wind projects.</w:t>
      </w:r>
      <w:r w:rsidR="005F52A3">
        <w:rPr>
          <w:rStyle w:val="FootnoteReference"/>
          <w:rFonts w:ascii="Times New Roman" w:hAnsi="Times New Roman"/>
        </w:rPr>
        <w:footnoteReference w:id="70"/>
      </w:r>
      <w:r w:rsidR="00405767">
        <w:rPr>
          <w:rFonts w:ascii="Times New Roman" w:hAnsi="Times New Roman"/>
        </w:rPr>
        <w:t xml:space="preserve">  </w:t>
      </w:r>
      <w:r w:rsidR="003E398C">
        <w:rPr>
          <w:rFonts w:ascii="Times New Roman" w:hAnsi="Times New Roman"/>
        </w:rPr>
        <w:t xml:space="preserve">According to industry </w:t>
      </w:r>
      <w:r w:rsidR="007A5B17">
        <w:rPr>
          <w:rFonts w:ascii="Times New Roman" w:hAnsi="Times New Roman"/>
        </w:rPr>
        <w:t>insiders, some fifty percent of all capital used in China’s wind power development has come from the CDM program.</w:t>
      </w:r>
      <w:r w:rsidR="002F715B">
        <w:rPr>
          <w:rStyle w:val="FootnoteReference"/>
          <w:rFonts w:ascii="Times New Roman" w:hAnsi="Times New Roman"/>
        </w:rPr>
        <w:footnoteReference w:id="71"/>
      </w:r>
      <w:r w:rsidR="007661C4">
        <w:rPr>
          <w:rFonts w:ascii="Times New Roman" w:hAnsi="Times New Roman"/>
        </w:rPr>
        <w:t xml:space="preserve">  </w:t>
      </w:r>
      <w:r w:rsidR="002F2724">
        <w:rPr>
          <w:rFonts w:ascii="Times New Roman" w:hAnsi="Times New Roman"/>
        </w:rPr>
        <w:t xml:space="preserve">The CDM program has therefore furthered the REL’s goal of promoting the growth of wind-powered electricity generation, </w:t>
      </w:r>
      <w:r w:rsidR="00015826">
        <w:rPr>
          <w:rFonts w:ascii="Times New Roman" w:hAnsi="Times New Roman"/>
        </w:rPr>
        <w:t xml:space="preserve">though it has not of course aided directly with the problem of grid connection.  </w:t>
      </w:r>
    </w:p>
    <w:p w:rsidR="0008526C" w:rsidRDefault="00CB72AA" w:rsidP="004B3751">
      <w:pPr>
        <w:spacing w:line="480" w:lineRule="auto"/>
        <w:rPr>
          <w:rFonts w:ascii="Times New Roman" w:hAnsi="Times New Roman"/>
        </w:rPr>
      </w:pPr>
      <w:r>
        <w:rPr>
          <w:rFonts w:ascii="Times New Roman" w:hAnsi="Times New Roman"/>
        </w:rPr>
        <w:lastRenderedPageBreak/>
        <w:tab/>
      </w:r>
      <w:r w:rsidR="00052023">
        <w:rPr>
          <w:rFonts w:ascii="Times New Roman" w:hAnsi="Times New Roman"/>
        </w:rPr>
        <w:t xml:space="preserve">While the CDM has played a major role in the growth of China’s wind industry, </w:t>
      </w:r>
      <w:r w:rsidR="000E7D6B">
        <w:rPr>
          <w:rFonts w:ascii="Times New Roman" w:hAnsi="Times New Roman"/>
        </w:rPr>
        <w:t xml:space="preserve">developers are cognizant that the program faces an uncertain future in China.  </w:t>
      </w:r>
      <w:r w:rsidR="00673F06">
        <w:rPr>
          <w:rFonts w:ascii="Times New Roman" w:hAnsi="Times New Roman"/>
        </w:rPr>
        <w:t xml:space="preserve">In 2009, </w:t>
      </w:r>
      <w:r w:rsidR="001917FF">
        <w:rPr>
          <w:rFonts w:ascii="Times New Roman" w:hAnsi="Times New Roman"/>
        </w:rPr>
        <w:t xml:space="preserve">the UN’s CDM Executive Board </w:t>
      </w:r>
      <w:r w:rsidR="006B16C1">
        <w:rPr>
          <w:rFonts w:ascii="Times New Roman" w:hAnsi="Times New Roman"/>
        </w:rPr>
        <w:t>ordered a halt to the purchase of CERs generated by Chinese wind-power projects</w:t>
      </w:r>
      <w:r w:rsidR="00360974">
        <w:rPr>
          <w:rFonts w:ascii="Times New Roman" w:hAnsi="Times New Roman"/>
        </w:rPr>
        <w:t>, pending investigation into whether the most recently proposed projects qualified unfairly.</w:t>
      </w:r>
      <w:r w:rsidR="00360974">
        <w:rPr>
          <w:rStyle w:val="FootnoteReference"/>
          <w:rFonts w:ascii="Times New Roman" w:hAnsi="Times New Roman"/>
        </w:rPr>
        <w:footnoteReference w:id="72"/>
      </w:r>
      <w:r w:rsidR="00B37A49">
        <w:rPr>
          <w:rFonts w:ascii="Times New Roman" w:hAnsi="Times New Roman"/>
        </w:rPr>
        <w:t xml:space="preserve">  The </w:t>
      </w:r>
      <w:r w:rsidR="00604395">
        <w:rPr>
          <w:rFonts w:ascii="Times New Roman" w:hAnsi="Times New Roman"/>
        </w:rPr>
        <w:t xml:space="preserve">Board was concerned that the 2009 REL’s benchmark pricing system had </w:t>
      </w:r>
      <w:r w:rsidR="00FF2024">
        <w:rPr>
          <w:rFonts w:ascii="Times New Roman" w:hAnsi="Times New Roman"/>
        </w:rPr>
        <w:t xml:space="preserve">been used to artificially </w:t>
      </w:r>
      <w:r w:rsidR="006B1375">
        <w:rPr>
          <w:rFonts w:ascii="Times New Roman" w:hAnsi="Times New Roman"/>
        </w:rPr>
        <w:t xml:space="preserve">lower the domestic profits of </w:t>
      </w:r>
      <w:r w:rsidR="00FC0553">
        <w:rPr>
          <w:rFonts w:ascii="Times New Roman" w:hAnsi="Times New Roman"/>
        </w:rPr>
        <w:t xml:space="preserve">wind projects.  Pursuant to the doctrine of </w:t>
      </w:r>
      <w:proofErr w:type="spellStart"/>
      <w:r w:rsidR="00FC0553">
        <w:rPr>
          <w:rFonts w:ascii="Times New Roman" w:hAnsi="Times New Roman"/>
        </w:rPr>
        <w:t>additionality</w:t>
      </w:r>
      <w:proofErr w:type="spellEnd"/>
      <w:r w:rsidR="00FC0553">
        <w:rPr>
          <w:rFonts w:ascii="Times New Roman" w:hAnsi="Times New Roman"/>
        </w:rPr>
        <w:t>, the drop in profits would render a wider range of projects eligible for the CDM.</w:t>
      </w:r>
      <w:r w:rsidR="00FC0553">
        <w:rPr>
          <w:rStyle w:val="FootnoteReference"/>
          <w:rFonts w:ascii="Times New Roman" w:hAnsi="Times New Roman"/>
        </w:rPr>
        <w:footnoteReference w:id="73"/>
      </w:r>
      <w:r w:rsidR="00360B36">
        <w:rPr>
          <w:rFonts w:ascii="Times New Roman" w:hAnsi="Times New Roman"/>
        </w:rPr>
        <w:t xml:space="preserve">  The Board therefore believed that the Chinese government might have engineered the </w:t>
      </w:r>
      <w:r w:rsidR="00853CDE">
        <w:rPr>
          <w:rFonts w:ascii="Times New Roman" w:hAnsi="Times New Roman"/>
        </w:rPr>
        <w:t xml:space="preserve">2009 REL specifically to abuse the </w:t>
      </w:r>
      <w:r w:rsidR="005A6B3D">
        <w:rPr>
          <w:rFonts w:ascii="Times New Roman" w:hAnsi="Times New Roman"/>
        </w:rPr>
        <w:t>CDM regime.</w:t>
      </w:r>
      <w:r w:rsidR="005A6B3D">
        <w:rPr>
          <w:rStyle w:val="FootnoteReference"/>
          <w:rFonts w:ascii="Times New Roman" w:hAnsi="Times New Roman"/>
        </w:rPr>
        <w:footnoteReference w:id="74"/>
      </w:r>
    </w:p>
    <w:p w:rsidR="0008526C" w:rsidRDefault="005A6B3D" w:rsidP="004B3751">
      <w:pPr>
        <w:spacing w:line="480" w:lineRule="auto"/>
        <w:rPr>
          <w:rFonts w:ascii="Times New Roman" w:hAnsi="Times New Roman"/>
        </w:rPr>
      </w:pPr>
      <w:r>
        <w:rPr>
          <w:rFonts w:ascii="Times New Roman" w:hAnsi="Times New Roman"/>
        </w:rPr>
        <w:tab/>
      </w:r>
      <w:r w:rsidR="00E82B08">
        <w:rPr>
          <w:rFonts w:ascii="Times New Roman" w:hAnsi="Times New Roman"/>
        </w:rPr>
        <w:t xml:space="preserve">Ultimately, the CDM board’s concerns did not pan out.  The 2009 REL’s benchmark pricing represented a dip in profitability for some projects, but this was chiefly because the prior bidding system had kept prices artificially inflated.  </w:t>
      </w:r>
      <w:r w:rsidR="00906C50">
        <w:rPr>
          <w:rFonts w:ascii="Times New Roman" w:hAnsi="Times New Roman"/>
        </w:rPr>
        <w:t xml:space="preserve">Currently, </w:t>
      </w:r>
      <w:r w:rsidR="00FA70E2">
        <w:rPr>
          <w:rFonts w:ascii="Times New Roman" w:hAnsi="Times New Roman"/>
        </w:rPr>
        <w:t xml:space="preserve">wind projects in China again generate CERs for the international market.  </w:t>
      </w:r>
      <w:r w:rsidR="008D7A1C">
        <w:rPr>
          <w:rFonts w:ascii="Times New Roman" w:hAnsi="Times New Roman"/>
        </w:rPr>
        <w:t>As of April, 2012, some 88 CDM approved projects are listed as “newly approved,” with four new projects having been approved since March, 2012.</w:t>
      </w:r>
      <w:r w:rsidR="008D7A1C">
        <w:rPr>
          <w:rStyle w:val="FootnoteReference"/>
          <w:rFonts w:ascii="Times New Roman" w:hAnsi="Times New Roman"/>
        </w:rPr>
        <w:footnoteReference w:id="75"/>
      </w:r>
      <w:r w:rsidR="007646E5">
        <w:rPr>
          <w:rFonts w:ascii="Times New Roman" w:hAnsi="Times New Roman"/>
        </w:rPr>
        <w:t xml:space="preserve">  </w:t>
      </w:r>
      <w:r w:rsidR="00DE6C8C">
        <w:rPr>
          <w:rFonts w:ascii="Times New Roman" w:hAnsi="Times New Roman"/>
        </w:rPr>
        <w:t>The vast majority of these projects consist</w:t>
      </w:r>
      <w:r w:rsidR="00F12FD1">
        <w:rPr>
          <w:rFonts w:ascii="Times New Roman" w:hAnsi="Times New Roman"/>
        </w:rPr>
        <w:t xml:space="preserve"> of some variety of wind </w:t>
      </w:r>
      <w:proofErr w:type="gramStart"/>
      <w:r w:rsidR="00F12FD1">
        <w:rPr>
          <w:rFonts w:ascii="Times New Roman" w:hAnsi="Times New Roman"/>
        </w:rPr>
        <w:t>farm</w:t>
      </w:r>
      <w:proofErr w:type="gramEnd"/>
      <w:r w:rsidR="00F12FD1">
        <w:rPr>
          <w:rFonts w:ascii="Times New Roman" w:hAnsi="Times New Roman"/>
        </w:rPr>
        <w:t>.</w:t>
      </w:r>
      <w:r w:rsidR="00F12FD1">
        <w:rPr>
          <w:rStyle w:val="FootnoteReference"/>
          <w:rFonts w:ascii="Times New Roman" w:hAnsi="Times New Roman"/>
        </w:rPr>
        <w:footnoteReference w:id="76"/>
      </w:r>
      <w:r w:rsidR="00F34989">
        <w:rPr>
          <w:rFonts w:ascii="Times New Roman" w:hAnsi="Times New Roman"/>
        </w:rPr>
        <w:t xml:space="preserve">  </w:t>
      </w:r>
      <w:r w:rsidR="00822123">
        <w:rPr>
          <w:rFonts w:ascii="Times New Roman" w:hAnsi="Times New Roman"/>
        </w:rPr>
        <w:t xml:space="preserve">Still, the looming </w:t>
      </w:r>
      <w:proofErr w:type="spellStart"/>
      <w:r w:rsidR="00822123">
        <w:rPr>
          <w:rFonts w:ascii="Times New Roman" w:hAnsi="Times New Roman"/>
        </w:rPr>
        <w:t>spectre</w:t>
      </w:r>
      <w:proofErr w:type="spellEnd"/>
      <w:r w:rsidR="00822123">
        <w:rPr>
          <w:rFonts w:ascii="Times New Roman" w:hAnsi="Times New Roman"/>
        </w:rPr>
        <w:t xml:space="preserve"> of </w:t>
      </w:r>
      <w:proofErr w:type="spellStart"/>
      <w:r w:rsidR="00822123">
        <w:rPr>
          <w:rFonts w:ascii="Times New Roman" w:hAnsi="Times New Roman"/>
        </w:rPr>
        <w:t>additionality</w:t>
      </w:r>
      <w:proofErr w:type="spellEnd"/>
      <w:r w:rsidR="00822123">
        <w:rPr>
          <w:rFonts w:ascii="Times New Roman" w:hAnsi="Times New Roman"/>
        </w:rPr>
        <w:t xml:space="preserve"> remains, and </w:t>
      </w:r>
      <w:r w:rsidR="00E772E8">
        <w:rPr>
          <w:rFonts w:ascii="Times New Roman" w:hAnsi="Times New Roman"/>
        </w:rPr>
        <w:t xml:space="preserve">as do uncertainties as to the form the CDM will take after the </w:t>
      </w:r>
      <w:r w:rsidR="00AD3833">
        <w:rPr>
          <w:rFonts w:ascii="Times New Roman" w:hAnsi="Times New Roman"/>
        </w:rPr>
        <w:t xml:space="preserve">current Kyoto Protocol emissions reduction period ends after 2012.  </w:t>
      </w:r>
      <w:r w:rsidR="00303A86">
        <w:rPr>
          <w:rFonts w:ascii="Times New Roman" w:hAnsi="Times New Roman"/>
        </w:rPr>
        <w:t xml:space="preserve">Developers </w:t>
      </w:r>
      <w:r w:rsidR="00303A86">
        <w:rPr>
          <w:rFonts w:ascii="Times New Roman" w:hAnsi="Times New Roman"/>
        </w:rPr>
        <w:lastRenderedPageBreak/>
        <w:t xml:space="preserve">therefore feel that they </w:t>
      </w:r>
      <w:r w:rsidR="006B6B07">
        <w:rPr>
          <w:rFonts w:ascii="Times New Roman" w:hAnsi="Times New Roman"/>
        </w:rPr>
        <w:t xml:space="preserve">need to look beyond the CDM as a source of continued growth, </w:t>
      </w:r>
      <w:r w:rsidR="008F3BA4">
        <w:rPr>
          <w:rFonts w:ascii="Times New Roman" w:hAnsi="Times New Roman"/>
        </w:rPr>
        <w:t xml:space="preserve">and they generally feel that the 2009 REL is still </w:t>
      </w:r>
      <w:r w:rsidR="00AE38BA">
        <w:rPr>
          <w:rFonts w:ascii="Times New Roman" w:hAnsi="Times New Roman"/>
        </w:rPr>
        <w:t>a reliable source of growth</w:t>
      </w:r>
      <w:r w:rsidR="008F3BA4">
        <w:rPr>
          <w:rFonts w:ascii="Times New Roman" w:hAnsi="Times New Roman"/>
        </w:rPr>
        <w:t>.</w:t>
      </w:r>
      <w:r w:rsidR="008F3BA4">
        <w:rPr>
          <w:rStyle w:val="FootnoteReference"/>
          <w:rFonts w:ascii="Times New Roman" w:hAnsi="Times New Roman"/>
        </w:rPr>
        <w:footnoteReference w:id="77"/>
      </w:r>
    </w:p>
    <w:p w:rsidR="003F13EB" w:rsidRDefault="003F13EB" w:rsidP="004B3751">
      <w:pPr>
        <w:spacing w:line="480" w:lineRule="auto"/>
        <w:rPr>
          <w:rFonts w:ascii="Times New Roman" w:hAnsi="Times New Roman"/>
        </w:rPr>
      </w:pPr>
    </w:p>
    <w:p w:rsidR="00AE38BA" w:rsidRDefault="003F13EB" w:rsidP="003F13EB">
      <w:pPr>
        <w:spacing w:line="480" w:lineRule="auto"/>
        <w:rPr>
          <w:rFonts w:ascii="Times New Roman" w:hAnsi="Times New Roman"/>
          <w:u w:val="single"/>
        </w:rPr>
      </w:pPr>
      <w:r>
        <w:rPr>
          <w:rFonts w:ascii="Times New Roman" w:hAnsi="Times New Roman"/>
        </w:rPr>
        <w:t>VII</w:t>
      </w:r>
      <w:proofErr w:type="gramStart"/>
      <w:r>
        <w:rPr>
          <w:rFonts w:ascii="Times New Roman" w:hAnsi="Times New Roman"/>
        </w:rPr>
        <w:t xml:space="preserve">.  </w:t>
      </w:r>
      <w:r w:rsidRPr="00C3086D">
        <w:rPr>
          <w:rFonts w:ascii="Times New Roman" w:hAnsi="Times New Roman"/>
          <w:u w:val="single"/>
        </w:rPr>
        <w:t>Case</w:t>
      </w:r>
      <w:proofErr w:type="gramEnd"/>
      <w:r w:rsidRPr="00C3086D">
        <w:rPr>
          <w:rFonts w:ascii="Times New Roman" w:hAnsi="Times New Roman"/>
          <w:u w:val="single"/>
        </w:rPr>
        <w:t xml:space="preserve"> Study: Inner Mongolia</w:t>
      </w:r>
    </w:p>
    <w:p w:rsidR="003F13EB" w:rsidRPr="00AE38BA" w:rsidRDefault="00AE38BA" w:rsidP="003F13EB">
      <w:pPr>
        <w:spacing w:line="480" w:lineRule="auto"/>
        <w:rPr>
          <w:rFonts w:ascii="Times New Roman" w:hAnsi="Times New Roman"/>
        </w:rPr>
      </w:pPr>
      <w:r>
        <w:rPr>
          <w:rFonts w:ascii="Times New Roman" w:hAnsi="Times New Roman"/>
        </w:rPr>
        <w:tab/>
        <w:t xml:space="preserve"> </w:t>
      </w:r>
      <w:r w:rsidR="000853F6">
        <w:rPr>
          <w:rFonts w:ascii="Times New Roman" w:hAnsi="Times New Roman"/>
        </w:rPr>
        <w:t xml:space="preserve">The development of wind-generated electricity in China </w:t>
      </w:r>
      <w:r w:rsidR="00E56504">
        <w:rPr>
          <w:rFonts w:ascii="Times New Roman" w:hAnsi="Times New Roman"/>
        </w:rPr>
        <w:t>involves a complex interpla</w:t>
      </w:r>
      <w:r w:rsidR="0006123D">
        <w:rPr>
          <w:rFonts w:ascii="Times New Roman" w:hAnsi="Times New Roman"/>
        </w:rPr>
        <w:t>y between state policy and law, the requirements of f</w:t>
      </w:r>
      <w:r w:rsidR="00A10625">
        <w:rPr>
          <w:rFonts w:ascii="Times New Roman" w:hAnsi="Times New Roman"/>
        </w:rPr>
        <w:t xml:space="preserve">inance, and the constraints of technology.  </w:t>
      </w:r>
      <w:r w:rsidR="00567F6B">
        <w:rPr>
          <w:rFonts w:ascii="Times New Roman" w:hAnsi="Times New Roman"/>
        </w:rPr>
        <w:t xml:space="preserve">An analysis of this interplay as it develops in specific circumstances </w:t>
      </w:r>
      <w:r w:rsidR="00730811">
        <w:rPr>
          <w:rFonts w:ascii="Times New Roman" w:hAnsi="Times New Roman"/>
        </w:rPr>
        <w:t xml:space="preserve">can tell us much about the relative importance of the REL in generating growth, and suggest what concerns are most likely to meet policy makers in coming years.  </w:t>
      </w:r>
      <w:r w:rsidR="001D762C">
        <w:rPr>
          <w:rFonts w:ascii="Times New Roman" w:hAnsi="Times New Roman"/>
        </w:rPr>
        <w:t xml:space="preserve">In this case, a study of wind development in the Inner Mongolia Autonomous Region (IMAR) </w:t>
      </w:r>
      <w:r w:rsidR="00D05516">
        <w:rPr>
          <w:rFonts w:ascii="Times New Roman" w:hAnsi="Times New Roman"/>
        </w:rPr>
        <w:t xml:space="preserve">illustrates </w:t>
      </w:r>
      <w:r w:rsidR="00915626">
        <w:rPr>
          <w:rFonts w:ascii="Times New Roman" w:hAnsi="Times New Roman"/>
        </w:rPr>
        <w:t xml:space="preserve">the role played by the REL in a region characterized by both long-term, steady growth of its wind power base and by a relative proximity to major urban centers.  </w:t>
      </w:r>
    </w:p>
    <w:p w:rsidR="003F13EB" w:rsidRDefault="003F13EB" w:rsidP="003F13EB">
      <w:pPr>
        <w:spacing w:line="480" w:lineRule="auto"/>
        <w:rPr>
          <w:rFonts w:ascii="Times New Roman" w:hAnsi="Times New Roman"/>
        </w:rPr>
      </w:pPr>
      <w:r>
        <w:rPr>
          <w:rFonts w:ascii="Times New Roman" w:hAnsi="Times New Roman"/>
        </w:rPr>
        <w:tab/>
        <w:t>The Inner M</w:t>
      </w:r>
      <w:r w:rsidR="00915626">
        <w:rPr>
          <w:rFonts w:ascii="Times New Roman" w:hAnsi="Times New Roman"/>
        </w:rPr>
        <w:t>ongolia Autonomous Region</w:t>
      </w:r>
      <w:r>
        <w:rPr>
          <w:rFonts w:ascii="Times New Roman" w:hAnsi="Times New Roman"/>
        </w:rPr>
        <w:t xml:space="preserve"> boasts the most extensive wind generation development in China.  Wind capacity in the region has seen particularly rapid growth in the past decade, and as of 2010 accounted for over 500 MW installed capacity.</w:t>
      </w:r>
      <w:r>
        <w:rPr>
          <w:rStyle w:val="FootnoteReference"/>
          <w:rFonts w:ascii="Times New Roman" w:hAnsi="Times New Roman"/>
        </w:rPr>
        <w:footnoteReference w:id="78"/>
      </w:r>
      <w:r>
        <w:rPr>
          <w:rFonts w:ascii="Times New Roman" w:hAnsi="Times New Roman"/>
        </w:rPr>
        <w:t xml:space="preserve">  Average wind densities in the region range between 200 W/m2 and 300 W/m2, with relatively low variation in wind speed.</w:t>
      </w:r>
      <w:r>
        <w:rPr>
          <w:rStyle w:val="FootnoteReference"/>
          <w:rFonts w:ascii="Times New Roman" w:hAnsi="Times New Roman"/>
        </w:rPr>
        <w:footnoteReference w:id="79"/>
      </w:r>
      <w:r>
        <w:rPr>
          <w:rFonts w:ascii="Times New Roman" w:hAnsi="Times New Roman"/>
        </w:rPr>
        <w:t xml:space="preserve">  The land in this region is flat, with a relatively low population density, and combined with its natural wind resources this makes the IMAR ideal grounds for wind power development.  </w:t>
      </w:r>
    </w:p>
    <w:p w:rsidR="003F13EB" w:rsidRDefault="003F13EB" w:rsidP="003F13EB">
      <w:pPr>
        <w:spacing w:line="480" w:lineRule="auto"/>
        <w:rPr>
          <w:rFonts w:ascii="Times New Roman" w:hAnsi="Times New Roman"/>
        </w:rPr>
      </w:pPr>
      <w:r>
        <w:rPr>
          <w:rFonts w:ascii="Times New Roman" w:hAnsi="Times New Roman"/>
        </w:rPr>
        <w:lastRenderedPageBreak/>
        <w:tab/>
        <w:t>Heavy investment in IMAR wind development has followed the REL 2009.  By the beginning of 2011, grid-connected installed wind capacity in the IMAR reached 10.9 GW.</w:t>
      </w:r>
      <w:r>
        <w:rPr>
          <w:rStyle w:val="FootnoteReference"/>
          <w:rFonts w:ascii="Times New Roman" w:hAnsi="Times New Roman"/>
        </w:rPr>
        <w:footnoteReference w:id="80"/>
      </w:r>
      <w:r>
        <w:rPr>
          <w:rFonts w:ascii="Times New Roman" w:hAnsi="Times New Roman"/>
        </w:rPr>
        <w:t xml:space="preserve">  In April, 2011, the NDRC subsequently announced approval of ten new large-scale wind projects, most in Inner Mongolia, accounting for up to 100MW each.  </w:t>
      </w:r>
    </w:p>
    <w:p w:rsidR="003F13EB" w:rsidRDefault="003F13EB" w:rsidP="003F13EB">
      <w:pPr>
        <w:spacing w:line="480" w:lineRule="auto"/>
        <w:rPr>
          <w:rFonts w:ascii="Times New Roman" w:hAnsi="Times New Roman"/>
        </w:rPr>
      </w:pPr>
      <w:r>
        <w:rPr>
          <w:rFonts w:ascii="Times New Roman" w:hAnsi="Times New Roman"/>
        </w:rPr>
        <w:tab/>
        <w:t xml:space="preserve">However, the development trend has slowed somewhat in the past few months.  Available incentive programs appear to have been successful in encouraging rapid development in base capacity, and even in grid connection, but technological difficulties remain.  In the western IMAR, for example, long-distance transmission is a necessary and limited step in exploiting local wind </w:t>
      </w:r>
      <w:r w:rsidR="00FE3CCC">
        <w:rPr>
          <w:rFonts w:ascii="Times New Roman" w:hAnsi="Times New Roman"/>
        </w:rPr>
        <w:t>resources</w:t>
      </w:r>
      <w:r>
        <w:rPr>
          <w:rFonts w:ascii="Times New Roman" w:hAnsi="Times New Roman"/>
        </w:rPr>
        <w:t xml:space="preserve">.  As of 2009, the western IMAR already boasted 6 </w:t>
      </w:r>
      <w:proofErr w:type="spellStart"/>
      <w:r>
        <w:rPr>
          <w:rFonts w:ascii="Times New Roman" w:hAnsi="Times New Roman"/>
        </w:rPr>
        <w:t>TWh</w:t>
      </w:r>
      <w:proofErr w:type="spellEnd"/>
      <w:r>
        <w:rPr>
          <w:rFonts w:ascii="Times New Roman" w:hAnsi="Times New Roman"/>
        </w:rPr>
        <w:t xml:space="preserve"> of wind-generated electricity.</w:t>
      </w:r>
      <w:r>
        <w:rPr>
          <w:rStyle w:val="FootnoteReference"/>
          <w:rFonts w:ascii="Times New Roman" w:hAnsi="Times New Roman"/>
        </w:rPr>
        <w:footnoteReference w:id="81"/>
      </w:r>
      <w:r>
        <w:rPr>
          <w:rFonts w:ascii="Times New Roman" w:hAnsi="Times New Roman"/>
        </w:rPr>
        <w:t xml:space="preserve">  Although this accounted for only 6% of local energy supply, demand is limited in the region due to substantial local coal-fired energy interests.</w:t>
      </w:r>
      <w:r>
        <w:rPr>
          <w:rStyle w:val="FootnoteReference"/>
          <w:rFonts w:ascii="Times New Roman" w:hAnsi="Times New Roman"/>
        </w:rPr>
        <w:footnoteReference w:id="82"/>
      </w:r>
      <w:r>
        <w:rPr>
          <w:rFonts w:ascii="Times New Roman" w:hAnsi="Times New Roman"/>
        </w:rPr>
        <w:t xml:space="preserve">  Producers must therefore sell off surplus power to other grid operators via two 500 kV transmissions lines.</w:t>
      </w:r>
      <w:r>
        <w:rPr>
          <w:rStyle w:val="FootnoteReference"/>
          <w:rFonts w:ascii="Times New Roman" w:hAnsi="Times New Roman"/>
        </w:rPr>
        <w:footnoteReference w:id="83"/>
      </w:r>
      <w:r>
        <w:rPr>
          <w:rFonts w:ascii="Times New Roman" w:hAnsi="Times New Roman"/>
        </w:rPr>
        <w:t xml:space="preserve">  This is a very limited transmission capacity, and as a result the surplus during periods of high wind (and therefore high electricity production) cannot be transmitted.</w:t>
      </w:r>
      <w:r>
        <w:rPr>
          <w:rStyle w:val="FootnoteReference"/>
          <w:rFonts w:ascii="Times New Roman" w:hAnsi="Times New Roman"/>
        </w:rPr>
        <w:footnoteReference w:id="84"/>
      </w:r>
      <w:r>
        <w:rPr>
          <w:rFonts w:ascii="Times New Roman" w:hAnsi="Times New Roman"/>
        </w:rPr>
        <w:t xml:space="preserve">  The IMAR is therefore a primary example of the existing electricity network’s challenges in the face of renewables generation.  </w:t>
      </w:r>
    </w:p>
    <w:p w:rsidR="003F13EB" w:rsidRDefault="003F13EB" w:rsidP="003F13EB">
      <w:pPr>
        <w:spacing w:line="480" w:lineRule="auto"/>
        <w:rPr>
          <w:rFonts w:ascii="Times New Roman" w:hAnsi="Times New Roman"/>
        </w:rPr>
      </w:pPr>
      <w:r>
        <w:rPr>
          <w:rFonts w:ascii="Times New Roman" w:hAnsi="Times New Roman"/>
        </w:rPr>
        <w:tab/>
        <w:t xml:space="preserve">Partly as a result of the success of the REL’s FIT program in incentivizing development, wind power development has outpaced necessary reform in the grid sector.  As a result, central government authorities have recently moved to enhance oversight of the wind power industry in </w:t>
      </w:r>
      <w:r>
        <w:rPr>
          <w:rFonts w:ascii="Times New Roman" w:hAnsi="Times New Roman"/>
        </w:rPr>
        <w:lastRenderedPageBreak/>
        <w:t>the IMAR.</w:t>
      </w:r>
      <w:r>
        <w:rPr>
          <w:rStyle w:val="FootnoteReference"/>
          <w:rFonts w:ascii="Times New Roman" w:hAnsi="Times New Roman"/>
        </w:rPr>
        <w:footnoteReference w:id="85"/>
      </w:r>
      <w:r>
        <w:rPr>
          <w:rFonts w:ascii="Times New Roman" w:hAnsi="Times New Roman"/>
        </w:rPr>
        <w:t xml:space="preserve">  In June, 2011, the NDRC issued a set of regulations requiring that firms involved in wind power development must have assets of at least RMB 1 billion (US $150million).</w:t>
      </w:r>
      <w:r>
        <w:rPr>
          <w:rStyle w:val="FootnoteReference"/>
          <w:rFonts w:ascii="Times New Roman" w:hAnsi="Times New Roman"/>
        </w:rPr>
        <w:footnoteReference w:id="86"/>
      </w:r>
      <w:r>
        <w:rPr>
          <w:rFonts w:ascii="Times New Roman" w:hAnsi="Times New Roman"/>
        </w:rPr>
        <w:t xml:space="preserve">  This regulation is believed to be a response to increasingly common business practices linking wind power developers to equipment manufacturers.  Local governments recently tended to support such relationships, which tended also to develop into multiple contracts among multiple subsidiaries, each with an independent and profitable position in the wind FIT scheme.</w:t>
      </w:r>
      <w:r>
        <w:rPr>
          <w:rStyle w:val="FootnoteReference"/>
          <w:rFonts w:ascii="Times New Roman" w:hAnsi="Times New Roman"/>
        </w:rPr>
        <w:footnoteReference w:id="87"/>
      </w:r>
      <w:r>
        <w:rPr>
          <w:rFonts w:ascii="Times New Roman" w:hAnsi="Times New Roman"/>
        </w:rPr>
        <w:t xml:space="preserve">  The increasingly fragmented market that resulted from such practices bore a negative impact on the FIT’s ability to control growth.  This is another example, and was the REL 2009 itself, of central authorities refining regulations in an attempt to better control the implementation of FIT programs at the provincial level.  </w:t>
      </w:r>
    </w:p>
    <w:p w:rsidR="003F13EB" w:rsidRDefault="003F13EB" w:rsidP="003F13EB">
      <w:pPr>
        <w:spacing w:line="480" w:lineRule="auto"/>
        <w:rPr>
          <w:rFonts w:ascii="Times New Roman" w:hAnsi="Times New Roman"/>
        </w:rPr>
      </w:pPr>
    </w:p>
    <w:p w:rsidR="00C2271D" w:rsidRDefault="003F13EB" w:rsidP="003F13EB">
      <w:pPr>
        <w:spacing w:line="480" w:lineRule="auto"/>
        <w:rPr>
          <w:rFonts w:ascii="Times New Roman" w:hAnsi="Times New Roman"/>
        </w:rPr>
      </w:pPr>
      <w:r>
        <w:rPr>
          <w:rFonts w:ascii="Times New Roman" w:hAnsi="Times New Roman"/>
        </w:rPr>
        <w:t>VIII</w:t>
      </w:r>
      <w:proofErr w:type="gramStart"/>
      <w:r>
        <w:rPr>
          <w:rFonts w:ascii="Times New Roman" w:hAnsi="Times New Roman"/>
        </w:rPr>
        <w:t xml:space="preserve">.  </w:t>
      </w:r>
      <w:r w:rsidRPr="00172B8A">
        <w:rPr>
          <w:rFonts w:ascii="Times New Roman" w:hAnsi="Times New Roman"/>
          <w:u w:val="single"/>
        </w:rPr>
        <w:t>Case</w:t>
      </w:r>
      <w:proofErr w:type="gramEnd"/>
      <w:r w:rsidRPr="00172B8A">
        <w:rPr>
          <w:rFonts w:ascii="Times New Roman" w:hAnsi="Times New Roman"/>
          <w:u w:val="single"/>
        </w:rPr>
        <w:t xml:space="preserve"> Study: Gansu</w:t>
      </w:r>
      <w:r>
        <w:rPr>
          <w:rFonts w:ascii="Times New Roman" w:hAnsi="Times New Roman"/>
        </w:rPr>
        <w:t>.</w:t>
      </w:r>
    </w:p>
    <w:p w:rsidR="003F13EB" w:rsidRDefault="00C2271D" w:rsidP="003F13EB">
      <w:pPr>
        <w:spacing w:line="480" w:lineRule="auto"/>
        <w:rPr>
          <w:rFonts w:ascii="Times New Roman" w:hAnsi="Times New Roman"/>
        </w:rPr>
      </w:pPr>
      <w:r>
        <w:rPr>
          <w:rFonts w:ascii="Times New Roman" w:hAnsi="Times New Roman"/>
        </w:rPr>
        <w:tab/>
        <w:t xml:space="preserve">Unlike IMAR, Gansu became a wind power base relatively late.  The region is also yet more removed from the greater part of China’s electricity consumption.  </w:t>
      </w:r>
      <w:r w:rsidR="00A760EB">
        <w:rPr>
          <w:rFonts w:ascii="Times New Roman" w:hAnsi="Times New Roman"/>
        </w:rPr>
        <w:t xml:space="preserve">However, wind power growth in the region is currently </w:t>
      </w:r>
      <w:r w:rsidR="00FE3CCC">
        <w:rPr>
          <w:rFonts w:ascii="Times New Roman" w:hAnsi="Times New Roman"/>
        </w:rPr>
        <w:t>unparalleled</w:t>
      </w:r>
      <w:r w:rsidR="00A760EB">
        <w:rPr>
          <w:rFonts w:ascii="Times New Roman" w:hAnsi="Times New Roman"/>
        </w:rPr>
        <w:t xml:space="preserve">.  </w:t>
      </w:r>
      <w:r w:rsidR="00781770">
        <w:rPr>
          <w:rFonts w:ascii="Times New Roman" w:hAnsi="Times New Roman"/>
        </w:rPr>
        <w:t xml:space="preserve">A study of wind power growth in Gansu therefore illustrates </w:t>
      </w:r>
      <w:r w:rsidR="00B93AED">
        <w:rPr>
          <w:rFonts w:ascii="Times New Roman" w:hAnsi="Times New Roman"/>
        </w:rPr>
        <w:t xml:space="preserve">the </w:t>
      </w:r>
      <w:r w:rsidR="00365846">
        <w:rPr>
          <w:rFonts w:ascii="Times New Roman" w:hAnsi="Times New Roman"/>
        </w:rPr>
        <w:t>fu</w:t>
      </w:r>
      <w:r w:rsidR="003A41A2">
        <w:rPr>
          <w:rFonts w:ascii="Times New Roman" w:hAnsi="Times New Roman"/>
        </w:rPr>
        <w:t xml:space="preserve">llest potential </w:t>
      </w:r>
      <w:r w:rsidR="00E53BFA">
        <w:rPr>
          <w:rFonts w:ascii="Times New Roman" w:hAnsi="Times New Roman"/>
        </w:rPr>
        <w:t>of mechanisms meant to promote</w:t>
      </w:r>
      <w:r w:rsidR="007277E8">
        <w:rPr>
          <w:rFonts w:ascii="Times New Roman" w:hAnsi="Times New Roman"/>
        </w:rPr>
        <w:t xml:space="preserve"> fast</w:t>
      </w:r>
      <w:r w:rsidR="00E53BFA">
        <w:rPr>
          <w:rFonts w:ascii="Times New Roman" w:hAnsi="Times New Roman"/>
        </w:rPr>
        <w:t xml:space="preserve"> </w:t>
      </w:r>
      <w:r w:rsidR="003A41A2">
        <w:rPr>
          <w:rFonts w:ascii="Times New Roman" w:hAnsi="Times New Roman"/>
        </w:rPr>
        <w:t xml:space="preserve">growth in the industry.  </w:t>
      </w:r>
      <w:r w:rsidR="00AB17E3">
        <w:rPr>
          <w:rFonts w:ascii="Times New Roman" w:hAnsi="Times New Roman"/>
        </w:rPr>
        <w:t xml:space="preserve">Unfortunately, it also illustrates the problems that result from such rapid development.  </w:t>
      </w:r>
    </w:p>
    <w:p w:rsidR="003F13EB" w:rsidRDefault="003F13EB" w:rsidP="003F13EB">
      <w:pPr>
        <w:spacing w:line="480" w:lineRule="auto"/>
        <w:rPr>
          <w:rFonts w:ascii="Times New Roman" w:hAnsi="Times New Roman"/>
        </w:rPr>
      </w:pPr>
      <w:r>
        <w:rPr>
          <w:rFonts w:ascii="Times New Roman" w:hAnsi="Times New Roman"/>
        </w:rPr>
        <w:tab/>
        <w:t xml:space="preserve">Gansu Province is currently the site of some of the more intense development in China’s wind power industry.  In recent years, over 5,000 wind turbines have been installed in northern </w:t>
      </w:r>
      <w:r>
        <w:rPr>
          <w:rFonts w:ascii="Times New Roman" w:hAnsi="Times New Roman"/>
        </w:rPr>
        <w:lastRenderedPageBreak/>
        <w:t>Gansu, resulting in an on-line capacity of 5,500 MW.</w:t>
      </w:r>
      <w:r>
        <w:rPr>
          <w:rStyle w:val="FootnoteReference"/>
          <w:rFonts w:ascii="Times New Roman" w:hAnsi="Times New Roman"/>
        </w:rPr>
        <w:footnoteReference w:id="88"/>
      </w:r>
      <w:r>
        <w:rPr>
          <w:rFonts w:ascii="Times New Roman" w:hAnsi="Times New Roman"/>
        </w:rPr>
        <w:t xml:space="preserve">  In 2010 alone, a wind farm of 3.8 GW was built outside the city of </w:t>
      </w:r>
      <w:proofErr w:type="spellStart"/>
      <w:r>
        <w:rPr>
          <w:rFonts w:ascii="Times New Roman" w:hAnsi="Times New Roman"/>
        </w:rPr>
        <w:t>Jiuquan</w:t>
      </w:r>
      <w:proofErr w:type="spellEnd"/>
      <w:r>
        <w:rPr>
          <w:rFonts w:ascii="Times New Roman" w:hAnsi="Times New Roman"/>
        </w:rPr>
        <w:t xml:space="preserve">, as part of what is projected to be China’s first 10 GW wind installation.  This project is to some degree planned via central government organs, and the National Energy Administration (NEA) has established the </w:t>
      </w:r>
      <w:proofErr w:type="spellStart"/>
      <w:r>
        <w:rPr>
          <w:rFonts w:ascii="Times New Roman" w:hAnsi="Times New Roman"/>
        </w:rPr>
        <w:t>Jiuquan</w:t>
      </w:r>
      <w:proofErr w:type="spellEnd"/>
      <w:r>
        <w:rPr>
          <w:rFonts w:ascii="Times New Roman" w:hAnsi="Times New Roman"/>
        </w:rPr>
        <w:t xml:space="preserve"> wind operation as the first of a planned six 10 GW wind power mega-projects.</w:t>
      </w:r>
      <w:r>
        <w:rPr>
          <w:rStyle w:val="FootnoteReference"/>
          <w:rFonts w:ascii="Times New Roman" w:hAnsi="Times New Roman"/>
        </w:rPr>
        <w:footnoteReference w:id="89"/>
      </w:r>
      <w:r>
        <w:rPr>
          <w:rFonts w:ascii="Times New Roman" w:hAnsi="Times New Roman"/>
        </w:rPr>
        <w:t xml:space="preserve">  The project is </w:t>
      </w:r>
      <w:r w:rsidR="00FE3CCC">
        <w:rPr>
          <w:rFonts w:ascii="Times New Roman" w:hAnsi="Times New Roman"/>
        </w:rPr>
        <w:t>referred</w:t>
      </w:r>
      <w:r>
        <w:rPr>
          <w:rFonts w:ascii="Times New Roman" w:hAnsi="Times New Roman"/>
        </w:rPr>
        <w:t xml:space="preserve"> to as the “Three Gorges on the Land,” in the Chinese media, and is represented as an important and high-profile new player in China’s ongoing “Western Development” strategy, joining such other feats of large-scale engineering as the Sichuan-Tibet Railway and, of course, the Three Gorges Dam.</w:t>
      </w:r>
      <w:r>
        <w:rPr>
          <w:rStyle w:val="FootnoteReference"/>
          <w:rFonts w:ascii="Times New Roman" w:hAnsi="Times New Roman"/>
        </w:rPr>
        <w:footnoteReference w:id="90"/>
      </w:r>
    </w:p>
    <w:p w:rsidR="003F13EB" w:rsidRDefault="003F13EB" w:rsidP="003F13EB">
      <w:pPr>
        <w:spacing w:line="480" w:lineRule="auto"/>
        <w:rPr>
          <w:rFonts w:ascii="Times New Roman" w:hAnsi="Times New Roman"/>
        </w:rPr>
      </w:pPr>
      <w:r>
        <w:rPr>
          <w:rFonts w:ascii="Times New Roman" w:hAnsi="Times New Roman"/>
        </w:rPr>
        <w:tab/>
        <w:t xml:space="preserve">The emergence of </w:t>
      </w:r>
      <w:proofErr w:type="spellStart"/>
      <w:r>
        <w:rPr>
          <w:rFonts w:ascii="Times New Roman" w:hAnsi="Times New Roman"/>
        </w:rPr>
        <w:t>Jiuquan</w:t>
      </w:r>
      <w:proofErr w:type="spellEnd"/>
      <w:r>
        <w:rPr>
          <w:rFonts w:ascii="Times New Roman" w:hAnsi="Times New Roman"/>
        </w:rPr>
        <w:t xml:space="preserve"> as a major global hub for wind power development is demonstrated by the substantial industry presence, as nearly every wind development company in China has established offices in the area.  Such ready investment is a distinctly post-2009 phenomenon.  Before the </w:t>
      </w:r>
      <w:proofErr w:type="gramStart"/>
      <w:r>
        <w:rPr>
          <w:rFonts w:ascii="Times New Roman" w:hAnsi="Times New Roman"/>
        </w:rPr>
        <w:t>centralizing measures of the 2009 amendment’s</w:t>
      </w:r>
      <w:proofErr w:type="gramEnd"/>
      <w:r>
        <w:rPr>
          <w:rFonts w:ascii="Times New Roman" w:hAnsi="Times New Roman"/>
        </w:rPr>
        <w:t xml:space="preserve"> FIT were implemented, provincial wind energy tariffs were set at a level as low as that for the far cheaper coal-fired generators.</w:t>
      </w:r>
      <w:r>
        <w:rPr>
          <w:rStyle w:val="FootnoteReference"/>
          <w:rFonts w:ascii="Times New Roman" w:hAnsi="Times New Roman"/>
        </w:rPr>
        <w:footnoteReference w:id="91"/>
      </w:r>
      <w:r>
        <w:rPr>
          <w:rFonts w:ascii="Times New Roman" w:hAnsi="Times New Roman"/>
        </w:rPr>
        <w:t xml:space="preserve">  </w:t>
      </w:r>
    </w:p>
    <w:p w:rsidR="00940D3C" w:rsidRDefault="003F13EB" w:rsidP="003F13EB">
      <w:pPr>
        <w:spacing w:line="480" w:lineRule="auto"/>
        <w:rPr>
          <w:rFonts w:ascii="Times New Roman" w:hAnsi="Times New Roman"/>
        </w:rPr>
      </w:pPr>
      <w:r>
        <w:rPr>
          <w:rFonts w:ascii="Times New Roman" w:hAnsi="Times New Roman"/>
        </w:rPr>
        <w:tab/>
        <w:t xml:space="preserve">The Chinese government is moving in anticipation of the problems common to new variable energy sources.  The local government has begun work on a $1.5 billion ultra-high </w:t>
      </w:r>
      <w:r>
        <w:rPr>
          <w:rFonts w:ascii="Times New Roman" w:hAnsi="Times New Roman"/>
        </w:rPr>
        <w:lastRenderedPageBreak/>
        <w:t xml:space="preserve">voltage cable system to transmit electricity from the </w:t>
      </w:r>
      <w:proofErr w:type="spellStart"/>
      <w:r>
        <w:rPr>
          <w:rFonts w:ascii="Times New Roman" w:hAnsi="Times New Roman"/>
        </w:rPr>
        <w:t>Jiuquan</w:t>
      </w:r>
      <w:proofErr w:type="spellEnd"/>
      <w:r>
        <w:rPr>
          <w:rFonts w:ascii="Times New Roman" w:hAnsi="Times New Roman"/>
        </w:rPr>
        <w:t xml:space="preserve"> network to populated areas.  However, flexibility issues common to the country’s grid as a whole will remain for some time.</w:t>
      </w:r>
      <w:r>
        <w:rPr>
          <w:rStyle w:val="FootnoteReference"/>
          <w:rFonts w:ascii="Times New Roman" w:hAnsi="Times New Roman"/>
        </w:rPr>
        <w:footnoteReference w:id="92"/>
      </w:r>
    </w:p>
    <w:p w:rsidR="00940D3C" w:rsidRDefault="00940D3C" w:rsidP="003F13EB">
      <w:pPr>
        <w:spacing w:line="480" w:lineRule="auto"/>
        <w:rPr>
          <w:rFonts w:ascii="Times New Roman" w:hAnsi="Times New Roman"/>
        </w:rPr>
      </w:pPr>
    </w:p>
    <w:p w:rsidR="002A152B" w:rsidRDefault="00940D3C" w:rsidP="003F13EB">
      <w:pPr>
        <w:spacing w:line="480" w:lineRule="auto"/>
        <w:rPr>
          <w:rFonts w:ascii="Times New Roman" w:hAnsi="Times New Roman"/>
        </w:rPr>
      </w:pPr>
      <w:r>
        <w:rPr>
          <w:rFonts w:ascii="Times New Roman" w:hAnsi="Times New Roman"/>
        </w:rPr>
        <w:t xml:space="preserve">IX. </w:t>
      </w:r>
      <w:r w:rsidR="007F4E8A" w:rsidRPr="007F4E8A">
        <w:rPr>
          <w:rFonts w:ascii="Times New Roman" w:hAnsi="Times New Roman"/>
          <w:u w:val="single"/>
        </w:rPr>
        <w:t>Future Policy Developments and the REL</w:t>
      </w:r>
    </w:p>
    <w:p w:rsidR="00AB0847" w:rsidRDefault="002A152B" w:rsidP="003F13EB">
      <w:pPr>
        <w:spacing w:line="480" w:lineRule="auto"/>
        <w:rPr>
          <w:rFonts w:ascii="Times New Roman" w:hAnsi="Times New Roman"/>
        </w:rPr>
      </w:pPr>
      <w:r>
        <w:rPr>
          <w:rFonts w:ascii="Times New Roman" w:hAnsi="Times New Roman"/>
        </w:rPr>
        <w:tab/>
      </w:r>
      <w:r w:rsidR="00AC12FC">
        <w:rPr>
          <w:rFonts w:ascii="Times New Roman" w:hAnsi="Times New Roman"/>
        </w:rPr>
        <w:t>With CDM funding no longer certain for China’s wind-power industry</w:t>
      </w:r>
      <w:r w:rsidR="00FD1521">
        <w:rPr>
          <w:rFonts w:ascii="Times New Roman" w:hAnsi="Times New Roman"/>
        </w:rPr>
        <w:t xml:space="preserve">, </w:t>
      </w:r>
      <w:r w:rsidR="00A72FCF">
        <w:rPr>
          <w:rFonts w:ascii="Times New Roman" w:hAnsi="Times New Roman"/>
        </w:rPr>
        <w:t>we can expect</w:t>
      </w:r>
      <w:r w:rsidR="00FD1521">
        <w:rPr>
          <w:rFonts w:ascii="Times New Roman" w:hAnsi="Times New Roman"/>
        </w:rPr>
        <w:t xml:space="preserve"> that central government policy-makers </w:t>
      </w:r>
      <w:r w:rsidR="00F161F3">
        <w:rPr>
          <w:rFonts w:ascii="Times New Roman" w:hAnsi="Times New Roman"/>
        </w:rPr>
        <w:t xml:space="preserve">hope to develop new mechanisms to further promote and manage wind-generated electricity.  </w:t>
      </w:r>
      <w:r w:rsidR="00AC3429">
        <w:rPr>
          <w:rFonts w:ascii="Times New Roman" w:hAnsi="Times New Roman"/>
        </w:rPr>
        <w:t>In particular, the</w:t>
      </w:r>
      <w:r w:rsidR="00353D9F">
        <w:rPr>
          <w:rFonts w:ascii="Times New Roman" w:hAnsi="Times New Roman"/>
        </w:rPr>
        <w:t xml:space="preserve"> management role of energy policy is likely to warrant more</w:t>
      </w:r>
      <w:r w:rsidR="002C3693">
        <w:rPr>
          <w:rFonts w:ascii="Times New Roman" w:hAnsi="Times New Roman"/>
        </w:rPr>
        <w:t xml:space="preserve"> attention at this stage.  </w:t>
      </w:r>
      <w:r w:rsidR="004238A1">
        <w:rPr>
          <w:rFonts w:ascii="Times New Roman" w:hAnsi="Times New Roman"/>
        </w:rPr>
        <w:t xml:space="preserve">Capacity has quickly outgrown the abilities of transport systems to integrate </w:t>
      </w:r>
      <w:r w:rsidR="00F1787C">
        <w:rPr>
          <w:rFonts w:ascii="Times New Roman" w:hAnsi="Times New Roman"/>
        </w:rPr>
        <w:t>new generators</w:t>
      </w:r>
      <w:r w:rsidR="004238A1">
        <w:rPr>
          <w:rFonts w:ascii="Times New Roman" w:hAnsi="Times New Roman"/>
        </w:rPr>
        <w:t xml:space="preserve">, and so new capacity must be better coupled with new developments in grid technology, and should likely be more limited, or </w:t>
      </w:r>
      <w:r w:rsidR="00FE3CCC">
        <w:rPr>
          <w:rFonts w:ascii="Times New Roman" w:hAnsi="Times New Roman"/>
        </w:rPr>
        <w:t>controlled</w:t>
      </w:r>
      <w:r w:rsidR="004238A1">
        <w:rPr>
          <w:rFonts w:ascii="Times New Roman" w:hAnsi="Times New Roman"/>
        </w:rPr>
        <w:t xml:space="preserve">, in its pace of development.  </w:t>
      </w:r>
    </w:p>
    <w:p w:rsidR="000A547A" w:rsidRDefault="00AB0847" w:rsidP="003F13EB">
      <w:pPr>
        <w:spacing w:line="480" w:lineRule="auto"/>
        <w:rPr>
          <w:rFonts w:ascii="Times New Roman" w:hAnsi="Times New Roman"/>
        </w:rPr>
      </w:pPr>
      <w:r>
        <w:rPr>
          <w:rFonts w:ascii="Times New Roman" w:hAnsi="Times New Roman"/>
        </w:rPr>
        <w:tab/>
      </w:r>
      <w:r w:rsidR="00C948B5">
        <w:rPr>
          <w:rFonts w:ascii="Times New Roman" w:hAnsi="Times New Roman"/>
        </w:rPr>
        <w:t xml:space="preserve">Signs of a new policy direction have already appeared.  </w:t>
      </w:r>
      <w:r w:rsidR="003F4CF0">
        <w:rPr>
          <w:rFonts w:ascii="Times New Roman" w:hAnsi="Times New Roman"/>
        </w:rPr>
        <w:t xml:space="preserve">On February 27, 2012, China’s </w:t>
      </w:r>
      <w:r w:rsidR="00C429DE">
        <w:rPr>
          <w:rFonts w:ascii="Times New Roman" w:hAnsi="Times New Roman"/>
        </w:rPr>
        <w:t>NDRC</w:t>
      </w:r>
      <w:r w:rsidR="003F4CF0">
        <w:rPr>
          <w:rFonts w:ascii="Times New Roman" w:hAnsi="Times New Roman"/>
        </w:rPr>
        <w:t xml:space="preserve"> announced a plan to develop a national quota regime intended to encourage renewable energy development.</w:t>
      </w:r>
      <w:r w:rsidR="00911F47">
        <w:rPr>
          <w:rStyle w:val="FootnoteReference"/>
          <w:rFonts w:ascii="Times New Roman" w:hAnsi="Times New Roman"/>
        </w:rPr>
        <w:footnoteReference w:id="93"/>
      </w:r>
      <w:r w:rsidR="003F4CF0">
        <w:rPr>
          <w:rFonts w:ascii="Times New Roman" w:hAnsi="Times New Roman"/>
        </w:rPr>
        <w:t xml:space="preserve">  This system will </w:t>
      </w:r>
      <w:r w:rsidR="007D1D75">
        <w:rPr>
          <w:rFonts w:ascii="Times New Roman" w:hAnsi="Times New Roman"/>
        </w:rPr>
        <w:t>define a required mix of renewable and conventional electricity sources to be applied on a region-by-region basis</w:t>
      </w:r>
      <w:r w:rsidR="003F4CF0">
        <w:rPr>
          <w:rFonts w:ascii="Times New Roman" w:hAnsi="Times New Roman"/>
        </w:rPr>
        <w:t>.</w:t>
      </w:r>
      <w:r w:rsidR="007B4E89">
        <w:rPr>
          <w:rStyle w:val="FootnoteReference"/>
          <w:rFonts w:ascii="Times New Roman" w:hAnsi="Times New Roman"/>
        </w:rPr>
        <w:footnoteReference w:id="94"/>
      </w:r>
      <w:r w:rsidR="000B0E45">
        <w:rPr>
          <w:rFonts w:ascii="Times New Roman" w:hAnsi="Times New Roman"/>
        </w:rPr>
        <w:t xml:space="preserve"> </w:t>
      </w:r>
      <w:r w:rsidR="00C45CAE">
        <w:rPr>
          <w:rFonts w:ascii="Times New Roman" w:hAnsi="Times New Roman"/>
        </w:rPr>
        <w:t xml:space="preserve"> While this program looks </w:t>
      </w:r>
      <w:r w:rsidR="006016F3">
        <w:rPr>
          <w:rFonts w:ascii="Times New Roman" w:hAnsi="Times New Roman"/>
        </w:rPr>
        <w:t xml:space="preserve">ready to provide an added layer of incentive for wind developers, </w:t>
      </w:r>
      <w:r w:rsidR="001775E2">
        <w:rPr>
          <w:rFonts w:ascii="Times New Roman" w:hAnsi="Times New Roman"/>
        </w:rPr>
        <w:t xml:space="preserve">it appears more oriented towards containment and </w:t>
      </w:r>
      <w:r w:rsidR="00987BCB">
        <w:rPr>
          <w:rFonts w:ascii="Times New Roman" w:hAnsi="Times New Roman"/>
        </w:rPr>
        <w:t xml:space="preserve">regulation of the industry as an intrinsic part of the over-all national electricity system.  </w:t>
      </w:r>
    </w:p>
    <w:p w:rsidR="005B01FD" w:rsidRDefault="000A547A" w:rsidP="005B01FD">
      <w:pPr>
        <w:spacing w:line="480" w:lineRule="auto"/>
        <w:rPr>
          <w:rFonts w:ascii="Times New Roman" w:hAnsi="Times New Roman"/>
        </w:rPr>
      </w:pPr>
      <w:r>
        <w:rPr>
          <w:rFonts w:ascii="Times New Roman" w:hAnsi="Times New Roman"/>
        </w:rPr>
        <w:tab/>
      </w:r>
      <w:r w:rsidR="005B01FD">
        <w:rPr>
          <w:rFonts w:ascii="Times New Roman" w:hAnsi="Times New Roman"/>
        </w:rPr>
        <w:t xml:space="preserve">A Oct 31, 2011 article in the </w:t>
      </w:r>
      <w:r w:rsidR="005B01FD">
        <w:rPr>
          <w:rFonts w:ascii="Times New Roman" w:hAnsi="Times New Roman"/>
          <w:i/>
        </w:rPr>
        <w:t>China Energy News</w:t>
      </w:r>
      <w:r w:rsidR="005B01FD">
        <w:rPr>
          <w:rFonts w:ascii="Times New Roman" w:hAnsi="Times New Roman"/>
        </w:rPr>
        <w:t xml:space="preserve">, a newspaper put out by the People’s Press and focused on China’s national energy industries, predicted just such a cool-down </w:t>
      </w:r>
      <w:r w:rsidR="005B01FD">
        <w:rPr>
          <w:rFonts w:ascii="Times New Roman" w:hAnsi="Times New Roman"/>
        </w:rPr>
        <w:lastRenderedPageBreak/>
        <w:t>phase.</w:t>
      </w:r>
      <w:r w:rsidR="0085160D">
        <w:rPr>
          <w:rStyle w:val="FootnoteReference"/>
          <w:rFonts w:ascii="Times New Roman" w:hAnsi="Times New Roman"/>
        </w:rPr>
        <w:footnoteReference w:id="95"/>
      </w:r>
      <w:r w:rsidR="005B01FD">
        <w:rPr>
          <w:rFonts w:ascii="Times New Roman" w:hAnsi="Times New Roman"/>
        </w:rPr>
        <w:t xml:space="preserve">  In this piece, Han </w:t>
      </w:r>
      <w:proofErr w:type="spellStart"/>
      <w:r w:rsidR="005B01FD">
        <w:rPr>
          <w:rFonts w:ascii="Times New Roman" w:hAnsi="Times New Roman"/>
        </w:rPr>
        <w:t>JunLiang</w:t>
      </w:r>
      <w:proofErr w:type="spellEnd"/>
      <w:r w:rsidR="005B01FD">
        <w:rPr>
          <w:rFonts w:ascii="Times New Roman" w:hAnsi="Times New Roman"/>
        </w:rPr>
        <w:t xml:space="preserve">, board chairman of the </w:t>
      </w:r>
      <w:proofErr w:type="spellStart"/>
      <w:r w:rsidR="005B01FD">
        <w:rPr>
          <w:rFonts w:ascii="Times New Roman" w:hAnsi="Times New Roman"/>
        </w:rPr>
        <w:t>HuaRui</w:t>
      </w:r>
      <w:proofErr w:type="spellEnd"/>
      <w:r w:rsidR="005B01FD">
        <w:rPr>
          <w:rFonts w:ascii="Times New Roman" w:hAnsi="Times New Roman"/>
        </w:rPr>
        <w:t xml:space="preserve"> Group (a major state-owned renewable energy developer), claimed that wind power in China had come to a “re-adjustment period,” where annual increases of 100-200% are simply not sustainable.</w:t>
      </w:r>
      <w:r w:rsidR="00341E19">
        <w:rPr>
          <w:rStyle w:val="FootnoteReference"/>
          <w:rFonts w:ascii="Times New Roman" w:hAnsi="Times New Roman"/>
        </w:rPr>
        <w:footnoteReference w:id="96"/>
      </w:r>
      <w:r w:rsidR="005B01FD">
        <w:rPr>
          <w:rFonts w:ascii="Times New Roman" w:hAnsi="Times New Roman"/>
        </w:rPr>
        <w:t xml:space="preserve">  </w:t>
      </w:r>
    </w:p>
    <w:p w:rsidR="00F9456F" w:rsidRDefault="005B01FD" w:rsidP="005B01FD">
      <w:pPr>
        <w:spacing w:line="480" w:lineRule="auto"/>
        <w:rPr>
          <w:rFonts w:ascii="Times New Roman" w:hAnsi="Times New Roman"/>
        </w:rPr>
      </w:pPr>
      <w:r>
        <w:rPr>
          <w:rFonts w:ascii="Times New Roman" w:hAnsi="Times New Roman"/>
        </w:rPr>
        <w:tab/>
        <w:t xml:space="preserve">An article in the same publication, published in February 2012 by Wang </w:t>
      </w:r>
      <w:proofErr w:type="spellStart"/>
      <w:r>
        <w:rPr>
          <w:rFonts w:ascii="Times New Roman" w:hAnsi="Times New Roman"/>
        </w:rPr>
        <w:t>Xiuqiang</w:t>
      </w:r>
      <w:proofErr w:type="spellEnd"/>
      <w:r>
        <w:rPr>
          <w:rFonts w:ascii="Times New Roman" w:hAnsi="Times New Roman"/>
        </w:rPr>
        <w:t>, connected this cool-down stage of development with the new need for a quota system.  The quota system, according to Wang, will require that markets incorporate a specific percentage of electricity from renewable sources, varying by region.</w:t>
      </w:r>
      <w:r w:rsidR="00B467D1">
        <w:rPr>
          <w:rStyle w:val="FootnoteReference"/>
          <w:rFonts w:ascii="Times New Roman" w:hAnsi="Times New Roman"/>
        </w:rPr>
        <w:footnoteReference w:id="97"/>
      </w:r>
      <w:r>
        <w:rPr>
          <w:rFonts w:ascii="Times New Roman" w:hAnsi="Times New Roman"/>
        </w:rPr>
        <w:t xml:space="preserve">  In the process, generators and grid operators will earn credits, which in turn they can trade on a domestic market.</w:t>
      </w:r>
      <w:r w:rsidR="00F64C55">
        <w:rPr>
          <w:rStyle w:val="FootnoteReference"/>
          <w:rFonts w:ascii="Times New Roman" w:hAnsi="Times New Roman"/>
        </w:rPr>
        <w:footnoteReference w:id="98"/>
      </w:r>
      <w:r>
        <w:rPr>
          <w:rFonts w:ascii="Times New Roman" w:hAnsi="Times New Roman"/>
        </w:rPr>
        <w:t xml:space="preserve">  According to Wang, this system will serve to better unite the interests of generators and grid operators through both market forces and</w:t>
      </w:r>
      <w:r w:rsidR="00D700E5">
        <w:rPr>
          <w:rFonts w:ascii="Times New Roman" w:hAnsi="Times New Roman"/>
        </w:rPr>
        <w:t xml:space="preserve"> through</w:t>
      </w:r>
      <w:r>
        <w:rPr>
          <w:rFonts w:ascii="Times New Roman" w:hAnsi="Times New Roman"/>
        </w:rPr>
        <w:t xml:space="preserve"> the threat of greater penalties where grid operators fail to connect renewable sources.</w:t>
      </w:r>
      <w:r w:rsidR="00C018C3">
        <w:rPr>
          <w:rStyle w:val="FootnoteReference"/>
          <w:rFonts w:ascii="Times New Roman" w:hAnsi="Times New Roman"/>
        </w:rPr>
        <w:footnoteReference w:id="99"/>
      </w:r>
      <w:r w:rsidR="006D08D9">
        <w:rPr>
          <w:rFonts w:ascii="Times New Roman" w:hAnsi="Times New Roman"/>
        </w:rPr>
        <w:t xml:space="preserve">  </w:t>
      </w:r>
    </w:p>
    <w:p w:rsidR="005B01FD" w:rsidRPr="008B714D" w:rsidRDefault="00F9456F" w:rsidP="005B01FD">
      <w:pPr>
        <w:spacing w:line="480" w:lineRule="auto"/>
        <w:rPr>
          <w:rFonts w:ascii="Times New Roman" w:hAnsi="Times New Roman"/>
        </w:rPr>
      </w:pPr>
      <w:r>
        <w:rPr>
          <w:rFonts w:ascii="Times New Roman" w:hAnsi="Times New Roman"/>
        </w:rPr>
        <w:tab/>
      </w:r>
      <w:r w:rsidR="000725F2">
        <w:rPr>
          <w:rFonts w:ascii="Times New Roman" w:hAnsi="Times New Roman"/>
        </w:rPr>
        <w:t>With proper pla</w:t>
      </w:r>
      <w:r w:rsidR="007B1C09">
        <w:rPr>
          <w:rFonts w:ascii="Times New Roman" w:hAnsi="Times New Roman"/>
        </w:rPr>
        <w:t>nning,</w:t>
      </w:r>
      <w:r w:rsidR="00742575">
        <w:rPr>
          <w:rFonts w:ascii="Times New Roman" w:hAnsi="Times New Roman"/>
        </w:rPr>
        <w:t xml:space="preserve"> the REL 2009’s FIT </w:t>
      </w:r>
      <w:r w:rsidR="007B1C09">
        <w:rPr>
          <w:rFonts w:ascii="Times New Roman" w:hAnsi="Times New Roman"/>
        </w:rPr>
        <w:t>should</w:t>
      </w:r>
      <w:r w:rsidR="00742575">
        <w:rPr>
          <w:rFonts w:ascii="Times New Roman" w:hAnsi="Times New Roman"/>
        </w:rPr>
        <w:t xml:space="preserve"> </w:t>
      </w:r>
      <w:r w:rsidR="000725F2">
        <w:rPr>
          <w:rFonts w:ascii="Times New Roman" w:hAnsi="Times New Roman"/>
        </w:rPr>
        <w:t xml:space="preserve">effectively </w:t>
      </w:r>
      <w:r w:rsidR="00742575">
        <w:rPr>
          <w:rFonts w:ascii="Times New Roman" w:hAnsi="Times New Roman"/>
        </w:rPr>
        <w:t xml:space="preserve">work in tandem with the new renewables quota system.  </w:t>
      </w:r>
      <w:r w:rsidR="008B714D">
        <w:rPr>
          <w:rFonts w:ascii="Times New Roman" w:hAnsi="Times New Roman"/>
        </w:rPr>
        <w:t xml:space="preserve">In </w:t>
      </w:r>
      <w:r w:rsidR="008B714D">
        <w:rPr>
          <w:rFonts w:ascii="Times New Roman" w:hAnsi="Times New Roman"/>
          <w:i/>
        </w:rPr>
        <w:t>Feed-in Tariff Policy: design, implementation, and RPS policy interactions</w:t>
      </w:r>
      <w:r w:rsidR="008B714D">
        <w:rPr>
          <w:rFonts w:ascii="Times New Roman" w:hAnsi="Times New Roman"/>
        </w:rPr>
        <w:t xml:space="preserve">, Cory, Couture and </w:t>
      </w:r>
      <w:proofErr w:type="spellStart"/>
      <w:r w:rsidR="008B714D">
        <w:rPr>
          <w:rFonts w:ascii="Times New Roman" w:hAnsi="Times New Roman"/>
        </w:rPr>
        <w:t>Kreycik</w:t>
      </w:r>
      <w:proofErr w:type="spellEnd"/>
      <w:r w:rsidR="008B714D">
        <w:rPr>
          <w:rFonts w:ascii="Times New Roman" w:hAnsi="Times New Roman"/>
        </w:rPr>
        <w:t xml:space="preserve"> </w:t>
      </w:r>
      <w:r w:rsidR="008C7CA2">
        <w:rPr>
          <w:rFonts w:ascii="Times New Roman" w:hAnsi="Times New Roman"/>
        </w:rPr>
        <w:t xml:space="preserve">observe that </w:t>
      </w:r>
      <w:r w:rsidR="004A7E72">
        <w:rPr>
          <w:rFonts w:ascii="Times New Roman" w:hAnsi="Times New Roman"/>
        </w:rPr>
        <w:t>a</w:t>
      </w:r>
      <w:r w:rsidR="001465F4">
        <w:rPr>
          <w:rFonts w:ascii="Times New Roman" w:hAnsi="Times New Roman"/>
        </w:rPr>
        <w:t xml:space="preserve"> FIT can </w:t>
      </w:r>
      <w:r w:rsidR="00B024F1">
        <w:rPr>
          <w:rFonts w:ascii="Times New Roman" w:hAnsi="Times New Roman"/>
        </w:rPr>
        <w:t xml:space="preserve">aid in helping industries meet energy quotas by providing </w:t>
      </w:r>
      <w:r w:rsidR="00B73E85">
        <w:rPr>
          <w:rFonts w:ascii="Times New Roman" w:hAnsi="Times New Roman"/>
        </w:rPr>
        <w:t>for project-financing support, a hedge against project delays, and support for emerging technologies.</w:t>
      </w:r>
      <w:r w:rsidR="004B11F6">
        <w:rPr>
          <w:rStyle w:val="FootnoteReference"/>
          <w:rFonts w:ascii="Times New Roman" w:hAnsi="Times New Roman"/>
        </w:rPr>
        <w:footnoteReference w:id="100"/>
      </w:r>
      <w:r w:rsidR="00B3127C">
        <w:rPr>
          <w:rFonts w:ascii="Times New Roman" w:hAnsi="Times New Roman"/>
        </w:rPr>
        <w:t xml:space="preserve">  At present, most of the literature focuses on FITs or RPS/quotas as </w:t>
      </w:r>
      <w:r w:rsidR="00EC467E">
        <w:rPr>
          <w:rFonts w:ascii="Times New Roman" w:hAnsi="Times New Roman"/>
        </w:rPr>
        <w:t xml:space="preserve">mutually exclusive options, </w:t>
      </w:r>
      <w:r w:rsidR="003E57B6">
        <w:rPr>
          <w:rFonts w:ascii="Times New Roman" w:hAnsi="Times New Roman"/>
        </w:rPr>
        <w:t xml:space="preserve">but given the reliance on the FIT demonstrated by wind-power developers in China it is most likely that policy-makers will consciously engineer the renewables quota system to </w:t>
      </w:r>
      <w:r w:rsidR="00C06955">
        <w:rPr>
          <w:rFonts w:ascii="Times New Roman" w:hAnsi="Times New Roman"/>
        </w:rPr>
        <w:t xml:space="preserve">work in </w:t>
      </w:r>
      <w:r w:rsidR="00BB6EA6">
        <w:rPr>
          <w:rFonts w:ascii="Times New Roman" w:hAnsi="Times New Roman"/>
        </w:rPr>
        <w:t xml:space="preserve">harmony with the FIT.  In the process, they will do well </w:t>
      </w:r>
      <w:r w:rsidR="00BB6EA6">
        <w:rPr>
          <w:rFonts w:ascii="Times New Roman" w:hAnsi="Times New Roman"/>
        </w:rPr>
        <w:lastRenderedPageBreak/>
        <w:t>to work towards tempering the over-production of capacity, as distinct from the need for grid-</w:t>
      </w:r>
      <w:proofErr w:type="gramStart"/>
      <w:r w:rsidR="00BB6EA6">
        <w:rPr>
          <w:rFonts w:ascii="Times New Roman" w:hAnsi="Times New Roman"/>
        </w:rPr>
        <w:t>connection, that</w:t>
      </w:r>
      <w:proofErr w:type="gramEnd"/>
      <w:r w:rsidR="00BB6EA6">
        <w:rPr>
          <w:rFonts w:ascii="Times New Roman" w:hAnsi="Times New Roman"/>
        </w:rPr>
        <w:t xml:space="preserve"> is made possible under the REL.  </w:t>
      </w:r>
    </w:p>
    <w:p w:rsidR="003F13EB" w:rsidRPr="002A152B" w:rsidRDefault="000E4065" w:rsidP="003F13EB">
      <w:pPr>
        <w:spacing w:line="480" w:lineRule="auto"/>
        <w:rPr>
          <w:rFonts w:ascii="Times New Roman" w:hAnsi="Times New Roman"/>
        </w:rPr>
      </w:pPr>
      <w:r>
        <w:rPr>
          <w:rFonts w:ascii="Times New Roman" w:hAnsi="Times New Roman"/>
        </w:rPr>
        <w:tab/>
      </w:r>
    </w:p>
    <w:p w:rsidR="003F13EB" w:rsidRDefault="003F13EB" w:rsidP="003F13EB">
      <w:pPr>
        <w:spacing w:line="480" w:lineRule="auto"/>
        <w:rPr>
          <w:rFonts w:ascii="Times New Roman" w:hAnsi="Times New Roman"/>
        </w:rPr>
      </w:pPr>
    </w:p>
    <w:p w:rsidR="000B2B4B" w:rsidRDefault="003F13EB" w:rsidP="004B3751">
      <w:pPr>
        <w:spacing w:line="480" w:lineRule="auto"/>
        <w:rPr>
          <w:rFonts w:ascii="Times New Roman" w:hAnsi="Times New Roman"/>
        </w:rPr>
      </w:pPr>
      <w:r>
        <w:rPr>
          <w:rFonts w:ascii="Times New Roman" w:hAnsi="Times New Roman"/>
        </w:rPr>
        <w:t xml:space="preserve">IX. </w:t>
      </w:r>
      <w:r w:rsidRPr="00663842">
        <w:rPr>
          <w:rFonts w:ascii="Times New Roman" w:hAnsi="Times New Roman"/>
          <w:u w:val="single"/>
        </w:rPr>
        <w:t>Conclusion</w:t>
      </w:r>
      <w:r>
        <w:rPr>
          <w:rFonts w:ascii="Times New Roman" w:hAnsi="Times New Roman"/>
          <w:u w:val="single"/>
        </w:rPr>
        <w:t>.</w:t>
      </w:r>
    </w:p>
    <w:p w:rsidR="005E4233" w:rsidRDefault="0094507F" w:rsidP="004B3751">
      <w:pPr>
        <w:spacing w:line="480" w:lineRule="auto"/>
        <w:rPr>
          <w:rFonts w:ascii="Times New Roman" w:hAnsi="Times New Roman"/>
        </w:rPr>
      </w:pPr>
      <w:r>
        <w:rPr>
          <w:rFonts w:ascii="Times New Roman" w:hAnsi="Times New Roman"/>
        </w:rPr>
        <w:tab/>
        <w:t>I</w:t>
      </w:r>
      <w:r w:rsidR="000B2B4B">
        <w:rPr>
          <w:rFonts w:ascii="Times New Roman" w:hAnsi="Times New Roman"/>
        </w:rPr>
        <w:t>t is difficult to predict</w:t>
      </w:r>
      <w:r w:rsidR="00513E8C">
        <w:rPr>
          <w:rFonts w:ascii="Times New Roman" w:hAnsi="Times New Roman"/>
        </w:rPr>
        <w:t xml:space="preserve"> with any confidence</w:t>
      </w:r>
      <w:r w:rsidR="000B2B4B">
        <w:rPr>
          <w:rFonts w:ascii="Times New Roman" w:hAnsi="Times New Roman"/>
        </w:rPr>
        <w:t xml:space="preserve"> whether the 2009 REL’s FIT regime will prove sufficient t</w:t>
      </w:r>
      <w:r w:rsidR="008506AF">
        <w:rPr>
          <w:rFonts w:ascii="Times New Roman" w:hAnsi="Times New Roman"/>
        </w:rPr>
        <w:t xml:space="preserve">o meet projected </w:t>
      </w:r>
      <w:r w:rsidR="000B2451">
        <w:rPr>
          <w:rFonts w:ascii="Times New Roman" w:hAnsi="Times New Roman"/>
        </w:rPr>
        <w:t>central government targets</w:t>
      </w:r>
      <w:r w:rsidR="008506AF">
        <w:rPr>
          <w:rFonts w:ascii="Times New Roman" w:hAnsi="Times New Roman"/>
        </w:rPr>
        <w:t xml:space="preserve"> </w:t>
      </w:r>
      <w:r w:rsidR="006D1FF4">
        <w:rPr>
          <w:rFonts w:ascii="Times New Roman" w:hAnsi="Times New Roman"/>
        </w:rPr>
        <w:t>for</w:t>
      </w:r>
      <w:r w:rsidR="008506AF">
        <w:rPr>
          <w:rFonts w:ascii="Times New Roman" w:hAnsi="Times New Roman"/>
        </w:rPr>
        <w:t xml:space="preserve"> China’s wind-gen</w:t>
      </w:r>
      <w:r w:rsidR="00513E8C">
        <w:rPr>
          <w:rFonts w:ascii="Times New Roman" w:hAnsi="Times New Roman"/>
        </w:rPr>
        <w:t xml:space="preserve">erated electricity development.  </w:t>
      </w:r>
      <w:r w:rsidR="00A66519">
        <w:rPr>
          <w:rFonts w:ascii="Times New Roman" w:hAnsi="Times New Roman"/>
        </w:rPr>
        <w:t xml:space="preserve">The </w:t>
      </w:r>
      <w:r w:rsidR="00FE3CCC">
        <w:rPr>
          <w:rFonts w:ascii="Times New Roman" w:hAnsi="Times New Roman"/>
        </w:rPr>
        <w:t>obstacles</w:t>
      </w:r>
      <w:r w:rsidR="00A66519">
        <w:rPr>
          <w:rFonts w:ascii="Times New Roman" w:hAnsi="Times New Roman"/>
        </w:rPr>
        <w:t xml:space="preserve"> to the REL’s uniform enforcement, especially </w:t>
      </w:r>
      <w:r w:rsidR="007C3942">
        <w:rPr>
          <w:rFonts w:ascii="Times New Roman" w:hAnsi="Times New Roman"/>
        </w:rPr>
        <w:t xml:space="preserve">where </w:t>
      </w:r>
      <w:r w:rsidR="00FE3CCC">
        <w:rPr>
          <w:rFonts w:ascii="Times New Roman" w:hAnsi="Times New Roman"/>
        </w:rPr>
        <w:t>mandatory</w:t>
      </w:r>
      <w:r w:rsidR="007C3942">
        <w:rPr>
          <w:rFonts w:ascii="Times New Roman" w:hAnsi="Times New Roman"/>
        </w:rPr>
        <w:t xml:space="preserve"> grid connection for wi</w:t>
      </w:r>
      <w:r w:rsidR="00B3217D">
        <w:rPr>
          <w:rFonts w:ascii="Times New Roman" w:hAnsi="Times New Roman"/>
        </w:rPr>
        <w:t xml:space="preserve">nd-generators is concerned, remain a matter of </w:t>
      </w:r>
      <w:r w:rsidR="00CE1910">
        <w:rPr>
          <w:rFonts w:ascii="Times New Roman" w:hAnsi="Times New Roman"/>
        </w:rPr>
        <w:t>concern.  In particular, the enforcement pr</w:t>
      </w:r>
      <w:r w:rsidR="00E50568">
        <w:rPr>
          <w:rFonts w:ascii="Times New Roman" w:hAnsi="Times New Roman"/>
        </w:rPr>
        <w:t>oblems endemic to China’s politic</w:t>
      </w:r>
      <w:r w:rsidR="00CE1910">
        <w:rPr>
          <w:rFonts w:ascii="Times New Roman" w:hAnsi="Times New Roman"/>
        </w:rPr>
        <w:t xml:space="preserve">al and legal systems are </w:t>
      </w:r>
      <w:r w:rsidR="00FE3CCC">
        <w:rPr>
          <w:rFonts w:ascii="Times New Roman" w:hAnsi="Times New Roman"/>
        </w:rPr>
        <w:t>exaggerated</w:t>
      </w:r>
      <w:r w:rsidR="00CE1910">
        <w:rPr>
          <w:rFonts w:ascii="Times New Roman" w:hAnsi="Times New Roman"/>
        </w:rPr>
        <w:t xml:space="preserve"> by the technological difficulties inherent to the integration of wind power on </w:t>
      </w:r>
      <w:r w:rsidR="00835203">
        <w:rPr>
          <w:rFonts w:ascii="Times New Roman" w:hAnsi="Times New Roman"/>
        </w:rPr>
        <w:t xml:space="preserve">this scale, </w:t>
      </w:r>
      <w:r w:rsidR="00977BDC">
        <w:rPr>
          <w:rFonts w:ascii="Times New Roman" w:hAnsi="Times New Roman"/>
        </w:rPr>
        <w:t xml:space="preserve">making </w:t>
      </w:r>
      <w:r w:rsidR="00CD4938">
        <w:rPr>
          <w:rFonts w:ascii="Times New Roman" w:hAnsi="Times New Roman"/>
        </w:rPr>
        <w:t xml:space="preserve">it difficult to fully analyze the </w:t>
      </w:r>
      <w:r w:rsidR="007310CD">
        <w:rPr>
          <w:rFonts w:ascii="Times New Roman" w:hAnsi="Times New Roman"/>
        </w:rPr>
        <w:t>roadblocks awaiting the wind-power indust</w:t>
      </w:r>
      <w:r w:rsidR="00C25665">
        <w:rPr>
          <w:rFonts w:ascii="Times New Roman" w:hAnsi="Times New Roman"/>
        </w:rPr>
        <w:t xml:space="preserve">ry as it continues to develop.  </w:t>
      </w:r>
      <w:r w:rsidR="001E2CC6">
        <w:rPr>
          <w:rFonts w:ascii="Times New Roman" w:hAnsi="Times New Roman"/>
        </w:rPr>
        <w:t xml:space="preserve">All the same, central government policy-makers have </w:t>
      </w:r>
      <w:r w:rsidR="00892B4E">
        <w:rPr>
          <w:rFonts w:ascii="Times New Roman" w:hAnsi="Times New Roman"/>
        </w:rPr>
        <w:t>made numerous adjustments to the FIT over the pas</w:t>
      </w:r>
      <w:r w:rsidR="005802EE">
        <w:rPr>
          <w:rFonts w:ascii="Times New Roman" w:hAnsi="Times New Roman"/>
        </w:rPr>
        <w:t xml:space="preserve">t decade, and its design </w:t>
      </w:r>
      <w:r w:rsidR="00A4362E">
        <w:rPr>
          <w:rFonts w:ascii="Times New Roman" w:hAnsi="Times New Roman"/>
        </w:rPr>
        <w:t xml:space="preserve">incorporates the numerous lessons brought by challenges to enforcement and the technological base.  </w:t>
      </w:r>
      <w:r w:rsidR="005528E2">
        <w:rPr>
          <w:rFonts w:ascii="Times New Roman" w:hAnsi="Times New Roman"/>
        </w:rPr>
        <w:t xml:space="preserve">Even with CDM funding in doubt, </w:t>
      </w:r>
      <w:r w:rsidR="00450BDA">
        <w:rPr>
          <w:rFonts w:ascii="Times New Roman" w:hAnsi="Times New Roman"/>
        </w:rPr>
        <w:t xml:space="preserve">developers feel that the FIT is the most reliable, market-driven incentive system for further development.  </w:t>
      </w:r>
      <w:r w:rsidR="00C8387A">
        <w:rPr>
          <w:rFonts w:ascii="Times New Roman" w:hAnsi="Times New Roman"/>
        </w:rPr>
        <w:t xml:space="preserve">The developers are most likely correct, especially if the new renewable energy quota system is designed specifically to work in tandem with the FIT, as we have every </w:t>
      </w:r>
      <w:r w:rsidR="005B1100">
        <w:rPr>
          <w:rFonts w:ascii="Times New Roman" w:hAnsi="Times New Roman"/>
        </w:rPr>
        <w:t xml:space="preserve">reason to think it will be.  </w:t>
      </w:r>
    </w:p>
    <w:p w:rsidR="00F72581" w:rsidRPr="000B2B4B" w:rsidRDefault="005E4233" w:rsidP="004B3751">
      <w:pPr>
        <w:spacing w:line="480" w:lineRule="auto"/>
        <w:rPr>
          <w:rFonts w:ascii="Times New Roman" w:hAnsi="Times New Roman"/>
        </w:rPr>
      </w:pPr>
      <w:r>
        <w:rPr>
          <w:rFonts w:ascii="Times New Roman" w:hAnsi="Times New Roman"/>
        </w:rPr>
        <w:tab/>
      </w:r>
      <w:r w:rsidR="00E708CA">
        <w:rPr>
          <w:rFonts w:ascii="Times New Roman" w:hAnsi="Times New Roman"/>
        </w:rPr>
        <w:t>Of course, the quota it</w:t>
      </w:r>
      <w:r w:rsidR="002F56E0">
        <w:rPr>
          <w:rFonts w:ascii="Times New Roman" w:hAnsi="Times New Roman"/>
        </w:rPr>
        <w:t xml:space="preserve">self must prove </w:t>
      </w:r>
      <w:r w:rsidR="00FE3CCC">
        <w:rPr>
          <w:rFonts w:ascii="Times New Roman" w:hAnsi="Times New Roman"/>
        </w:rPr>
        <w:t>enforceable</w:t>
      </w:r>
      <w:r w:rsidR="002F56E0">
        <w:rPr>
          <w:rFonts w:ascii="Times New Roman" w:hAnsi="Times New Roman"/>
        </w:rPr>
        <w:t xml:space="preserve">.  If the central government does succeed in establishing </w:t>
      </w:r>
      <w:r w:rsidR="00B53EF8">
        <w:rPr>
          <w:rFonts w:ascii="Times New Roman" w:hAnsi="Times New Roman"/>
        </w:rPr>
        <w:t xml:space="preserve">uniform </w:t>
      </w:r>
      <w:r w:rsidR="002E6E46">
        <w:rPr>
          <w:rFonts w:ascii="Times New Roman" w:hAnsi="Times New Roman"/>
        </w:rPr>
        <w:t xml:space="preserve">enforcement of the quota system, and especially if </w:t>
      </w:r>
      <w:proofErr w:type="gramStart"/>
      <w:r w:rsidR="002E6E46">
        <w:rPr>
          <w:rFonts w:ascii="Times New Roman" w:hAnsi="Times New Roman"/>
        </w:rPr>
        <w:t>its</w:t>
      </w:r>
      <w:proofErr w:type="gramEnd"/>
      <w:r w:rsidR="002E6E46">
        <w:rPr>
          <w:rFonts w:ascii="Times New Roman" w:hAnsi="Times New Roman"/>
        </w:rPr>
        <w:t xml:space="preserve"> associated credit market flourishes, </w:t>
      </w:r>
      <w:r w:rsidR="00CC1A0A">
        <w:rPr>
          <w:rFonts w:ascii="Times New Roman" w:hAnsi="Times New Roman"/>
        </w:rPr>
        <w:t xml:space="preserve">it may be enough to ensure that wind-power generators and </w:t>
      </w:r>
      <w:r w:rsidR="00E40E1F">
        <w:rPr>
          <w:rFonts w:ascii="Times New Roman" w:hAnsi="Times New Roman"/>
        </w:rPr>
        <w:t xml:space="preserve">grid operators learn to </w:t>
      </w:r>
      <w:r w:rsidR="007C503C">
        <w:rPr>
          <w:rFonts w:ascii="Times New Roman" w:hAnsi="Times New Roman"/>
        </w:rPr>
        <w:t xml:space="preserve">concentrate on the country’s overall goal: that of bringing </w:t>
      </w:r>
      <w:r w:rsidR="004F5254">
        <w:rPr>
          <w:rFonts w:ascii="Times New Roman" w:hAnsi="Times New Roman"/>
        </w:rPr>
        <w:t xml:space="preserve">unprecedented </w:t>
      </w:r>
      <w:r w:rsidR="004F5254">
        <w:rPr>
          <w:rFonts w:ascii="Times New Roman" w:hAnsi="Times New Roman"/>
        </w:rPr>
        <w:lastRenderedPageBreak/>
        <w:t xml:space="preserve">amounts of wind-generated electricity on-line for consumers.  </w:t>
      </w:r>
      <w:r>
        <w:rPr>
          <w:rFonts w:ascii="Times New Roman" w:hAnsi="Times New Roman"/>
        </w:rPr>
        <w:t xml:space="preserve">Further research, then, should concentrate on the potential interactions between China’s FIT and the quota regime, </w:t>
      </w:r>
      <w:r w:rsidR="00D90EF6">
        <w:rPr>
          <w:rFonts w:ascii="Times New Roman" w:hAnsi="Times New Roman"/>
        </w:rPr>
        <w:t>and on the</w:t>
      </w:r>
      <w:r w:rsidR="00981AC5">
        <w:rPr>
          <w:rFonts w:ascii="Times New Roman" w:hAnsi="Times New Roman"/>
        </w:rPr>
        <w:t xml:space="preserve"> strength and the various market mechanisms involved in </w:t>
      </w:r>
      <w:r w:rsidR="009D7C93">
        <w:rPr>
          <w:rFonts w:ascii="Times New Roman" w:hAnsi="Times New Roman"/>
        </w:rPr>
        <w:t xml:space="preserve">encouraging greater integration between the efforts of generators and grid operators.  </w:t>
      </w:r>
    </w:p>
    <w:sectPr w:rsidR="00F72581" w:rsidRPr="000B2B4B" w:rsidSect="007C442F">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3A9E">
      <w:r>
        <w:separator/>
      </w:r>
    </w:p>
  </w:endnote>
  <w:endnote w:type="continuationSeparator" w:id="0">
    <w:p w:rsidR="00000000" w:rsidRDefault="006C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04" w:rsidRDefault="00D50504" w:rsidP="00914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504" w:rsidRDefault="00D50504" w:rsidP="001D0D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04" w:rsidRDefault="00D50504" w:rsidP="00914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A9E">
      <w:rPr>
        <w:rStyle w:val="PageNumber"/>
        <w:noProof/>
      </w:rPr>
      <w:t>1</w:t>
    </w:r>
    <w:r>
      <w:rPr>
        <w:rStyle w:val="PageNumber"/>
      </w:rPr>
      <w:fldChar w:fldCharType="end"/>
    </w:r>
  </w:p>
  <w:p w:rsidR="00D50504" w:rsidRDefault="00D50504" w:rsidP="001D0D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3A9E">
      <w:r>
        <w:separator/>
      </w:r>
    </w:p>
  </w:footnote>
  <w:footnote w:type="continuationSeparator" w:id="0">
    <w:p w:rsidR="00000000" w:rsidRDefault="006C3A9E">
      <w:r>
        <w:continuationSeparator/>
      </w:r>
    </w:p>
  </w:footnote>
  <w:footnote w:id="1">
    <w:p w:rsidR="00D50504" w:rsidRPr="004E0592" w:rsidRDefault="00D50504" w:rsidP="002A327D">
      <w:pPr>
        <w:pStyle w:val="FootnoteText"/>
      </w:pPr>
      <w:r>
        <w:rPr>
          <w:rStyle w:val="FootnoteReference"/>
        </w:rPr>
        <w:footnoteRef/>
      </w:r>
      <w:r>
        <w:t xml:space="preserve"> </w:t>
      </w:r>
      <w:proofErr w:type="gramStart"/>
      <w:r>
        <w:rPr>
          <w:i/>
        </w:rPr>
        <w:t>Integration of Renewables</w:t>
      </w:r>
      <w:r>
        <w:t xml:space="preserve"> (International Energy Agency ed., Working Paper, 2011), 7.</w:t>
      </w:r>
      <w:proofErr w:type="gramEnd"/>
    </w:p>
  </w:footnote>
  <w:footnote w:id="2">
    <w:p w:rsidR="00D50504" w:rsidRPr="001D2EAA" w:rsidRDefault="00D50504" w:rsidP="002A327D">
      <w:pPr>
        <w:pStyle w:val="FootnoteText"/>
      </w:pPr>
      <w:r>
        <w:rPr>
          <w:rStyle w:val="FootnoteReference"/>
        </w:rPr>
        <w:footnoteRef/>
      </w:r>
      <w:r>
        <w:t xml:space="preserve"> </w:t>
      </w:r>
      <w:r>
        <w:rPr>
          <w:i/>
        </w:rPr>
        <w:t>Outlook 2011: Update</w:t>
      </w:r>
      <w:r>
        <w:t xml:space="preserve"> (Asian Development Bank, ed., 2011), 110.</w:t>
      </w:r>
    </w:p>
  </w:footnote>
  <w:footnote w:id="3">
    <w:p w:rsidR="00D50504" w:rsidRPr="00BA0A61" w:rsidRDefault="00D50504" w:rsidP="002A327D">
      <w:pPr>
        <w:pStyle w:val="FootnoteText"/>
      </w:pPr>
      <w:r>
        <w:rPr>
          <w:rStyle w:val="FootnoteReference"/>
        </w:rPr>
        <w:footnoteRef/>
      </w:r>
      <w:r>
        <w:t xml:space="preserve"> </w:t>
      </w:r>
      <w:proofErr w:type="gramStart"/>
      <w:r>
        <w:rPr>
          <w:i/>
        </w:rPr>
        <w:t>World Energy Outlook 2011</w:t>
      </w:r>
      <w:r>
        <w:t xml:space="preserve"> (International Energy Agency ed., 2011), 80.</w:t>
      </w:r>
      <w:proofErr w:type="gramEnd"/>
    </w:p>
  </w:footnote>
  <w:footnote w:id="4">
    <w:p w:rsidR="00D50504" w:rsidRDefault="00D50504" w:rsidP="002A327D">
      <w:pPr>
        <w:pStyle w:val="FootnoteText"/>
      </w:pPr>
      <w:r>
        <w:rPr>
          <w:rStyle w:val="FootnoteReference"/>
        </w:rPr>
        <w:footnoteRef/>
      </w:r>
      <w:r>
        <w:t xml:space="preserve"> </w:t>
      </w:r>
      <w:r>
        <w:rPr>
          <w:i/>
        </w:rPr>
        <w:t>Id</w:t>
      </w:r>
      <w:r>
        <w:t xml:space="preserve">.  </w:t>
      </w:r>
    </w:p>
  </w:footnote>
  <w:footnote w:id="5">
    <w:p w:rsidR="00D50504" w:rsidRDefault="00D50504" w:rsidP="002A327D">
      <w:pPr>
        <w:pStyle w:val="FootnoteText"/>
      </w:pPr>
      <w:r>
        <w:rPr>
          <w:rStyle w:val="FootnoteReference"/>
        </w:rPr>
        <w:footnoteRef/>
      </w:r>
      <w:r>
        <w:t xml:space="preserve"> </w:t>
      </w:r>
      <w:r>
        <w:rPr>
          <w:i/>
        </w:rPr>
        <w:t>Id</w:t>
      </w:r>
      <w:r>
        <w:t>.</w:t>
      </w:r>
    </w:p>
  </w:footnote>
  <w:footnote w:id="6">
    <w:p w:rsidR="00D50504" w:rsidRDefault="00D50504" w:rsidP="002A327D">
      <w:pPr>
        <w:pStyle w:val="FootnoteText"/>
      </w:pPr>
      <w:r>
        <w:rPr>
          <w:rStyle w:val="FootnoteReference"/>
        </w:rPr>
        <w:footnoteRef/>
      </w:r>
      <w:r>
        <w:t xml:space="preserve"> </w:t>
      </w:r>
      <w:proofErr w:type="gramStart"/>
      <w:r>
        <w:rPr>
          <w:i/>
        </w:rPr>
        <w:t>Integration of Renewables</w:t>
      </w:r>
      <w:r>
        <w:t>, (IEA ed., Working Paper, 2011) 7.</w:t>
      </w:r>
      <w:proofErr w:type="gramEnd"/>
    </w:p>
  </w:footnote>
  <w:footnote w:id="7">
    <w:p w:rsidR="00D50504" w:rsidRDefault="00D50504" w:rsidP="002A327D">
      <w:pPr>
        <w:pStyle w:val="FootnoteText"/>
      </w:pPr>
      <w:r>
        <w:rPr>
          <w:rStyle w:val="FootnoteReference"/>
        </w:rPr>
        <w:footnoteRef/>
      </w:r>
      <w:r>
        <w:t xml:space="preserve"> </w:t>
      </w:r>
      <w:proofErr w:type="spellStart"/>
      <w:r>
        <w:t>Fredrich</w:t>
      </w:r>
      <w:proofErr w:type="spellEnd"/>
      <w:r>
        <w:t xml:space="preserve"> </w:t>
      </w:r>
      <w:proofErr w:type="spellStart"/>
      <w:r>
        <w:t>Kahrl</w:t>
      </w:r>
      <w:proofErr w:type="spellEnd"/>
      <w:r>
        <w:t xml:space="preserve"> et al., </w:t>
      </w:r>
      <w:r w:rsidRPr="004E40CA">
        <w:rPr>
          <w:i/>
        </w:rPr>
        <w:t>Challenges to China’s transition to a low carbon electricity system</w:t>
      </w:r>
      <w:r>
        <w:t xml:space="preserve">, 39 </w:t>
      </w:r>
      <w:r w:rsidRPr="00FA7107">
        <w:rPr>
          <w:smallCaps/>
        </w:rPr>
        <w:t>Energy Policy</w:t>
      </w:r>
      <w:r>
        <w:t xml:space="preserve"> 4033 (2011).</w:t>
      </w:r>
    </w:p>
  </w:footnote>
  <w:footnote w:id="8">
    <w:p w:rsidR="00D50504" w:rsidRDefault="00D50504" w:rsidP="002A327D">
      <w:pPr>
        <w:pStyle w:val="FootnoteText"/>
      </w:pPr>
      <w:r>
        <w:rPr>
          <w:rStyle w:val="FootnoteReference"/>
        </w:rPr>
        <w:footnoteRef/>
      </w:r>
      <w:r>
        <w:t xml:space="preserve"> </w:t>
      </w:r>
      <w:r>
        <w:rPr>
          <w:i/>
        </w:rPr>
        <w:t>Id.</w:t>
      </w:r>
    </w:p>
  </w:footnote>
  <w:footnote w:id="9">
    <w:p w:rsidR="00D50504" w:rsidRPr="002D3232" w:rsidRDefault="00D50504" w:rsidP="002A327D">
      <w:pPr>
        <w:pStyle w:val="FootnoteText"/>
      </w:pPr>
      <w:r>
        <w:rPr>
          <w:rStyle w:val="FootnoteReference"/>
        </w:rPr>
        <w:footnoteRef/>
      </w:r>
      <w:r>
        <w:t xml:space="preserve"> </w:t>
      </w:r>
      <w:r>
        <w:rPr>
          <w:i/>
        </w:rPr>
        <w:t>Id</w:t>
      </w:r>
      <w:r>
        <w:t>.</w:t>
      </w:r>
    </w:p>
  </w:footnote>
  <w:footnote w:id="10">
    <w:p w:rsidR="00D50504" w:rsidRPr="00CB758A" w:rsidRDefault="00D50504" w:rsidP="002A327D">
      <w:pPr>
        <w:pStyle w:val="FootnoteText"/>
      </w:pPr>
      <w:r>
        <w:rPr>
          <w:rStyle w:val="FootnoteReference"/>
        </w:rPr>
        <w:footnoteRef/>
      </w:r>
      <w:r>
        <w:t xml:space="preserve"> Kong Chiu, </w:t>
      </w:r>
      <w:r w:rsidRPr="00E70189">
        <w:rPr>
          <w:i/>
        </w:rPr>
        <w:t>Breathing Better: Linking Energy and GHG Reduction to Health Benefits in China</w:t>
      </w:r>
      <w:r>
        <w:t xml:space="preserve">, 11 </w:t>
      </w:r>
      <w:r w:rsidRPr="00E70189">
        <w:rPr>
          <w:smallCaps/>
        </w:rPr>
        <w:t>Woodrow Wilson Center, China Environment Series</w:t>
      </w:r>
      <w:r>
        <w:rPr>
          <w:i/>
        </w:rPr>
        <w:t xml:space="preserve"> </w:t>
      </w:r>
      <w:r>
        <w:t>117 (2007).</w:t>
      </w:r>
    </w:p>
  </w:footnote>
  <w:footnote w:id="11">
    <w:p w:rsidR="00D50504" w:rsidRDefault="00D50504" w:rsidP="002A327D">
      <w:pPr>
        <w:pStyle w:val="FootnoteText"/>
      </w:pPr>
      <w:r>
        <w:rPr>
          <w:rStyle w:val="FootnoteReference"/>
        </w:rPr>
        <w:footnoteRef/>
      </w:r>
      <w:r>
        <w:t xml:space="preserve"> </w:t>
      </w:r>
      <w:r>
        <w:rPr>
          <w:i/>
        </w:rPr>
        <w:t>Id</w:t>
      </w:r>
      <w:r>
        <w:t>.</w:t>
      </w:r>
    </w:p>
  </w:footnote>
  <w:footnote w:id="12">
    <w:p w:rsidR="00D50504" w:rsidRDefault="00D50504" w:rsidP="002A327D">
      <w:pPr>
        <w:pStyle w:val="FootnoteText"/>
      </w:pPr>
      <w:r>
        <w:rPr>
          <w:rStyle w:val="FootnoteReference"/>
        </w:rPr>
        <w:footnoteRef/>
      </w:r>
      <w:r>
        <w:t xml:space="preserve"> </w:t>
      </w:r>
      <w:proofErr w:type="gramStart"/>
      <w:r>
        <w:rPr>
          <w:i/>
        </w:rPr>
        <w:t>Id</w:t>
      </w:r>
      <w:r>
        <w:t xml:space="preserve"> at 118.</w:t>
      </w:r>
      <w:proofErr w:type="gramEnd"/>
    </w:p>
  </w:footnote>
  <w:footnote w:id="13">
    <w:p w:rsidR="00D50504" w:rsidRPr="00463C8E" w:rsidRDefault="00D50504" w:rsidP="002A327D">
      <w:pPr>
        <w:pStyle w:val="FootnoteText"/>
      </w:pPr>
      <w:r>
        <w:rPr>
          <w:rStyle w:val="FootnoteReference"/>
        </w:rPr>
        <w:footnoteRef/>
      </w:r>
      <w:r>
        <w:t xml:space="preserve"> </w:t>
      </w:r>
      <w:proofErr w:type="gramStart"/>
      <w:r>
        <w:t xml:space="preserve">Stephanie B. </w:t>
      </w:r>
      <w:proofErr w:type="spellStart"/>
      <w:r>
        <w:t>Ohshita</w:t>
      </w:r>
      <w:proofErr w:type="spellEnd"/>
      <w:r>
        <w:t xml:space="preserve">, </w:t>
      </w:r>
      <w:r w:rsidRPr="006E274A">
        <w:rPr>
          <w:i/>
        </w:rPr>
        <w:t>Lessons for Industrial Energy Efficiency Cooperation with China,</w:t>
      </w:r>
      <w:r>
        <w:t xml:space="preserve"> 11 </w:t>
      </w:r>
      <w:r w:rsidRPr="00CC5FA2">
        <w:rPr>
          <w:smallCaps/>
        </w:rPr>
        <w:t>Woodrow Wilson Center, China Environment Series</w:t>
      </w:r>
      <w:r>
        <w:t xml:space="preserve"> 49 (2011).</w:t>
      </w:r>
      <w:proofErr w:type="gramEnd"/>
    </w:p>
  </w:footnote>
  <w:footnote w:id="14">
    <w:p w:rsidR="00D50504" w:rsidRPr="006E274A" w:rsidRDefault="00D50504" w:rsidP="0013141F">
      <w:pPr>
        <w:rPr>
          <w:sz w:val="22"/>
          <w:szCs w:val="20"/>
        </w:rPr>
      </w:pPr>
      <w:r w:rsidRPr="006E274A">
        <w:rPr>
          <w:rStyle w:val="FootnoteReference"/>
          <w:sz w:val="22"/>
        </w:rPr>
        <w:footnoteRef/>
      </w:r>
      <w:r w:rsidRPr="006E274A">
        <w:rPr>
          <w:sz w:val="22"/>
        </w:rPr>
        <w:t xml:space="preserve"> </w:t>
      </w:r>
      <w:proofErr w:type="gramStart"/>
      <w:r>
        <w:rPr>
          <w:sz w:val="22"/>
        </w:rPr>
        <w:t xml:space="preserve">BK </w:t>
      </w:r>
      <w:r w:rsidRPr="006E274A">
        <w:rPr>
          <w:sz w:val="22"/>
          <w:szCs w:val="20"/>
        </w:rPr>
        <w:t>Sovacool, I Mukherjee, I</w:t>
      </w:r>
      <w:r>
        <w:rPr>
          <w:sz w:val="22"/>
          <w:szCs w:val="20"/>
        </w:rPr>
        <w:t xml:space="preserve">M </w:t>
      </w:r>
      <w:proofErr w:type="spellStart"/>
      <w:r>
        <w:rPr>
          <w:sz w:val="22"/>
          <w:szCs w:val="20"/>
        </w:rPr>
        <w:t>Drupady</w:t>
      </w:r>
      <w:proofErr w:type="spellEnd"/>
      <w:r>
        <w:rPr>
          <w:sz w:val="22"/>
          <w:szCs w:val="20"/>
        </w:rPr>
        <w:t xml:space="preserve">, and AL </w:t>
      </w:r>
      <w:proofErr w:type="spellStart"/>
      <w:r>
        <w:rPr>
          <w:sz w:val="22"/>
          <w:szCs w:val="20"/>
        </w:rPr>
        <w:t>D’Agostino</w:t>
      </w:r>
      <w:proofErr w:type="spellEnd"/>
      <w:r>
        <w:rPr>
          <w:sz w:val="22"/>
          <w:szCs w:val="20"/>
        </w:rPr>
        <w:t>.</w:t>
      </w:r>
      <w:proofErr w:type="gramEnd"/>
      <w:r>
        <w:rPr>
          <w:sz w:val="22"/>
          <w:szCs w:val="20"/>
        </w:rPr>
        <w:t xml:space="preserve">  </w:t>
      </w:r>
      <w:r w:rsidRPr="006E274A">
        <w:rPr>
          <w:i/>
          <w:sz w:val="22"/>
          <w:szCs w:val="20"/>
        </w:rPr>
        <w:t>Evaluating Energy Security Perf</w:t>
      </w:r>
      <w:r w:rsidRPr="006E274A">
        <w:rPr>
          <w:i/>
          <w:color w:val="000000"/>
          <w:sz w:val="22"/>
          <w:szCs w:val="20"/>
        </w:rPr>
        <w:t>ormance from 1990 to 2010 for Eighteen Countries</w:t>
      </w:r>
      <w:r>
        <w:rPr>
          <w:color w:val="000000"/>
          <w:sz w:val="22"/>
          <w:szCs w:val="20"/>
        </w:rPr>
        <w:t>, 36</w:t>
      </w:r>
      <w:r w:rsidRPr="006E274A">
        <w:rPr>
          <w:color w:val="000000"/>
          <w:sz w:val="22"/>
          <w:szCs w:val="20"/>
        </w:rPr>
        <w:t>(10</w:t>
      </w:r>
      <w:proofErr w:type="gramStart"/>
      <w:r w:rsidRPr="006E274A">
        <w:rPr>
          <w:color w:val="000000"/>
          <w:sz w:val="22"/>
          <w:szCs w:val="20"/>
        </w:rPr>
        <w:t xml:space="preserve">)  </w:t>
      </w:r>
      <w:r w:rsidRPr="006E274A">
        <w:rPr>
          <w:smallCaps/>
          <w:color w:val="000000"/>
          <w:sz w:val="22"/>
          <w:szCs w:val="20"/>
        </w:rPr>
        <w:t>Energy</w:t>
      </w:r>
      <w:proofErr w:type="gramEnd"/>
      <w:r w:rsidRPr="006E274A">
        <w:rPr>
          <w:i/>
          <w:color w:val="000000"/>
          <w:sz w:val="22"/>
          <w:szCs w:val="20"/>
        </w:rPr>
        <w:t xml:space="preserve"> </w:t>
      </w:r>
      <w:r>
        <w:rPr>
          <w:color w:val="000000"/>
          <w:sz w:val="22"/>
          <w:szCs w:val="20"/>
        </w:rPr>
        <w:t>5846-5853 (October, 2011)</w:t>
      </w:r>
      <w:r w:rsidRPr="006E274A">
        <w:rPr>
          <w:sz w:val="22"/>
          <w:szCs w:val="20"/>
        </w:rPr>
        <w:t xml:space="preserve">.  </w:t>
      </w:r>
    </w:p>
    <w:p w:rsidR="00D50504" w:rsidRDefault="00D50504">
      <w:pPr>
        <w:pStyle w:val="FootnoteText"/>
      </w:pPr>
    </w:p>
  </w:footnote>
  <w:footnote w:id="15">
    <w:p w:rsidR="00BC4F73" w:rsidRPr="00BC4F73" w:rsidRDefault="00BC4F73">
      <w:pPr>
        <w:pStyle w:val="FootnoteText"/>
      </w:pPr>
      <w:r>
        <w:rPr>
          <w:rStyle w:val="FootnoteReference"/>
        </w:rPr>
        <w:footnoteRef/>
      </w:r>
      <w:r>
        <w:t xml:space="preserve"> </w:t>
      </w:r>
      <w:r w:rsidR="00812D34">
        <w:rPr>
          <w:i/>
        </w:rPr>
        <w:t>Electricity/Heat in China, People’s Republic</w:t>
      </w:r>
      <w:r w:rsidR="00812D34">
        <w:t xml:space="preserve"> </w:t>
      </w:r>
      <w:r w:rsidR="00812D34">
        <w:rPr>
          <w:i/>
        </w:rPr>
        <w:t xml:space="preserve">of in 2009, </w:t>
      </w:r>
      <w:r w:rsidRPr="00812D34">
        <w:rPr>
          <w:smallCaps/>
        </w:rPr>
        <w:t>International Energy Agency</w:t>
      </w:r>
      <w:proofErr w:type="gramStart"/>
      <w:r>
        <w:t xml:space="preserve">,  </w:t>
      </w:r>
      <w:r w:rsidR="00812D34" w:rsidRPr="00812D34">
        <w:t>http</w:t>
      </w:r>
      <w:proofErr w:type="gramEnd"/>
      <w:r w:rsidR="00812D34" w:rsidRPr="00812D34">
        <w:t>://www.iea.org/stats/electricitydata.asp?COUNTRY_CODE=CN</w:t>
      </w:r>
      <w:r w:rsidR="00812D34">
        <w:t>.</w:t>
      </w:r>
    </w:p>
  </w:footnote>
  <w:footnote w:id="16">
    <w:p w:rsidR="00D50504" w:rsidRPr="00FD0D17" w:rsidRDefault="00D50504" w:rsidP="00DC3576">
      <w:pPr>
        <w:pStyle w:val="FootnoteText"/>
      </w:pPr>
      <w:r>
        <w:rPr>
          <w:rStyle w:val="FootnoteReference"/>
        </w:rPr>
        <w:footnoteRef/>
      </w:r>
      <w:r>
        <w:t xml:space="preserve"> </w:t>
      </w:r>
      <w:proofErr w:type="gramStart"/>
      <w:r w:rsidRPr="00065296">
        <w:rPr>
          <w:smallCaps/>
        </w:rPr>
        <w:t xml:space="preserve">Charles </w:t>
      </w:r>
      <w:proofErr w:type="spellStart"/>
      <w:r w:rsidRPr="00065296">
        <w:rPr>
          <w:smallCaps/>
        </w:rPr>
        <w:t>McElwee</w:t>
      </w:r>
      <w:proofErr w:type="spellEnd"/>
      <w:r w:rsidRPr="00065296">
        <w:rPr>
          <w:smallCaps/>
        </w:rPr>
        <w:t>, Environmental Law in China</w:t>
      </w:r>
      <w:r>
        <w:rPr>
          <w:smallCaps/>
        </w:rPr>
        <w:t xml:space="preserve"> 94</w:t>
      </w:r>
      <w:r>
        <w:t xml:space="preserve"> (2011).</w:t>
      </w:r>
      <w:proofErr w:type="gramEnd"/>
    </w:p>
  </w:footnote>
  <w:footnote w:id="17">
    <w:p w:rsidR="00D50504" w:rsidRDefault="00D50504" w:rsidP="00DC3576">
      <w:pPr>
        <w:pStyle w:val="FootnoteText"/>
      </w:pPr>
      <w:r>
        <w:rPr>
          <w:rStyle w:val="FootnoteReference"/>
        </w:rPr>
        <w:footnoteRef/>
      </w:r>
      <w:r>
        <w:t xml:space="preserve"> Joel </w:t>
      </w:r>
      <w:proofErr w:type="spellStart"/>
      <w:r>
        <w:t>Eisen</w:t>
      </w:r>
      <w:proofErr w:type="spellEnd"/>
      <w:r>
        <w:t xml:space="preserve">, </w:t>
      </w:r>
      <w:r w:rsidRPr="00B14113">
        <w:rPr>
          <w:i/>
        </w:rPr>
        <w:t>China’s Renewable Energy Law</w:t>
      </w:r>
      <w:proofErr w:type="gramStart"/>
      <w:r>
        <w:t>,  35</w:t>
      </w:r>
      <w:proofErr w:type="gramEnd"/>
      <w:r>
        <w:t xml:space="preserve"> </w:t>
      </w:r>
      <w:r w:rsidRPr="00B14113">
        <w:rPr>
          <w:smallCaps/>
        </w:rPr>
        <w:t>W</w:t>
      </w:r>
      <w:r>
        <w:rPr>
          <w:smallCaps/>
        </w:rPr>
        <w:t>m. &amp;</w:t>
      </w:r>
      <w:r w:rsidRPr="00B14113">
        <w:rPr>
          <w:smallCaps/>
        </w:rPr>
        <w:t xml:space="preserve"> Mary </w:t>
      </w:r>
      <w:proofErr w:type="spellStart"/>
      <w:r w:rsidRPr="00B14113">
        <w:rPr>
          <w:smallCaps/>
        </w:rPr>
        <w:t>E</w:t>
      </w:r>
      <w:r>
        <w:rPr>
          <w:smallCaps/>
        </w:rPr>
        <w:t>nvtl</w:t>
      </w:r>
      <w:proofErr w:type="spellEnd"/>
      <w:r>
        <w:rPr>
          <w:smallCaps/>
        </w:rPr>
        <w:t>.</w:t>
      </w:r>
      <w:r w:rsidRPr="00B14113">
        <w:rPr>
          <w:smallCaps/>
        </w:rPr>
        <w:t xml:space="preserve"> </w:t>
      </w:r>
      <w:proofErr w:type="gramStart"/>
      <w:r w:rsidRPr="00B14113">
        <w:rPr>
          <w:smallCaps/>
        </w:rPr>
        <w:t>L</w:t>
      </w:r>
      <w:r>
        <w:rPr>
          <w:smallCaps/>
        </w:rPr>
        <w:t>.</w:t>
      </w:r>
      <w:r w:rsidRPr="00B14113">
        <w:rPr>
          <w:smallCaps/>
        </w:rPr>
        <w:t xml:space="preserve"> </w:t>
      </w:r>
      <w:r>
        <w:rPr>
          <w:smallCaps/>
        </w:rPr>
        <w:t>&amp;</w:t>
      </w:r>
      <w:r w:rsidRPr="00B14113">
        <w:rPr>
          <w:smallCaps/>
        </w:rPr>
        <w:t xml:space="preserve"> </w:t>
      </w:r>
      <w:proofErr w:type="spellStart"/>
      <w:r w:rsidRPr="00B14113">
        <w:rPr>
          <w:smallCaps/>
        </w:rPr>
        <w:t>P</w:t>
      </w:r>
      <w:r>
        <w:rPr>
          <w:smallCaps/>
        </w:rPr>
        <w:t>ol’</w:t>
      </w:r>
      <w:r w:rsidRPr="00B14113">
        <w:rPr>
          <w:smallCaps/>
        </w:rPr>
        <w:t>y</w:t>
      </w:r>
      <w:proofErr w:type="spellEnd"/>
      <w:r w:rsidRPr="00B14113">
        <w:rPr>
          <w:smallCaps/>
        </w:rPr>
        <w:t xml:space="preserve"> R</w:t>
      </w:r>
      <w:r>
        <w:rPr>
          <w:smallCaps/>
        </w:rPr>
        <w:t>ev.</w:t>
      </w:r>
      <w:r>
        <w:t xml:space="preserve"> 11 (2010).</w:t>
      </w:r>
      <w:proofErr w:type="gramEnd"/>
      <w:r>
        <w:t xml:space="preserve"> </w:t>
      </w:r>
    </w:p>
  </w:footnote>
  <w:footnote w:id="18">
    <w:p w:rsidR="00D50504" w:rsidRPr="00D52FDC" w:rsidRDefault="00D50504" w:rsidP="00DC3576">
      <w:pPr>
        <w:pStyle w:val="FootnoteText"/>
      </w:pPr>
      <w:r>
        <w:rPr>
          <w:rStyle w:val="FootnoteReference"/>
        </w:rPr>
        <w:footnoteRef/>
      </w:r>
      <w:r>
        <w:t xml:space="preserve"> </w:t>
      </w:r>
      <w:proofErr w:type="gramStart"/>
      <w:r w:rsidRPr="00FC58CD">
        <w:rPr>
          <w:i/>
        </w:rPr>
        <w:t>Key Targets of China’s 12th Five Year Plan</w:t>
      </w:r>
      <w:r>
        <w:t xml:space="preserve">, </w:t>
      </w:r>
      <w:r w:rsidRPr="00A00D9D">
        <w:rPr>
          <w:smallCaps/>
        </w:rPr>
        <w:t>Xinhua News Service</w:t>
      </w:r>
      <w:r>
        <w:t xml:space="preserve">, March 5, 2011, </w:t>
      </w:r>
      <w:r w:rsidRPr="00D52FDC">
        <w:t>news.xinhuanet.com/english2010/china/2011-03/05/c_13762230.htm</w:t>
      </w:r>
      <w:r>
        <w:t>.</w:t>
      </w:r>
      <w:proofErr w:type="gramEnd"/>
      <w:r>
        <w:t xml:space="preserve">  </w:t>
      </w:r>
      <w:r>
        <w:rPr>
          <w:i/>
        </w:rPr>
        <w:t xml:space="preserve">See also </w:t>
      </w:r>
      <w:r>
        <w:t xml:space="preserve">Barbara </w:t>
      </w:r>
      <w:proofErr w:type="spellStart"/>
      <w:r>
        <w:t>Finamore</w:t>
      </w:r>
      <w:proofErr w:type="spellEnd"/>
      <w:r>
        <w:t xml:space="preserve">, </w:t>
      </w:r>
      <w:r w:rsidRPr="00D36C41">
        <w:rPr>
          <w:i/>
        </w:rPr>
        <w:t>The Next Five Years of Clean Energy and Climate Change Protection in China</w:t>
      </w:r>
      <w:r>
        <w:t xml:space="preserve">, NRDC </w:t>
      </w:r>
      <w:r w:rsidRPr="00A00D9D">
        <w:rPr>
          <w:smallCaps/>
        </w:rPr>
        <w:t>Switchboard,</w:t>
      </w:r>
      <w:r>
        <w:t xml:space="preserve"> </w:t>
      </w:r>
      <w:proofErr w:type="gramStart"/>
      <w:r>
        <w:t>March</w:t>
      </w:r>
      <w:proofErr w:type="gramEnd"/>
      <w:r>
        <w:t xml:space="preserve"> 23, 2011.  </w:t>
      </w:r>
    </w:p>
  </w:footnote>
  <w:footnote w:id="19">
    <w:p w:rsidR="00D50504" w:rsidRDefault="00D50504" w:rsidP="00DC3576">
      <w:pPr>
        <w:pStyle w:val="FootnoteText"/>
      </w:pPr>
      <w:r>
        <w:rPr>
          <w:rStyle w:val="FootnoteReference"/>
        </w:rPr>
        <w:footnoteRef/>
      </w:r>
      <w:r>
        <w:t xml:space="preserve"> </w:t>
      </w:r>
      <w:r w:rsidRPr="00D36C41">
        <w:rPr>
          <w:i/>
        </w:rPr>
        <w:t>The Next Five Years of Clean Energy and Climate Change Protection in China</w:t>
      </w:r>
      <w:r>
        <w:t xml:space="preserve">, NRDC </w:t>
      </w:r>
      <w:r w:rsidRPr="00A00D9D">
        <w:rPr>
          <w:smallCaps/>
        </w:rPr>
        <w:t>Switchboard,</w:t>
      </w:r>
      <w:r>
        <w:t xml:space="preserve"> March 23, 2011.  </w:t>
      </w:r>
    </w:p>
  </w:footnote>
  <w:footnote w:id="20">
    <w:p w:rsidR="00D50504" w:rsidRDefault="00D50504" w:rsidP="004B3751">
      <w:pPr>
        <w:pStyle w:val="FootnoteText"/>
      </w:pPr>
      <w:r>
        <w:rPr>
          <w:rStyle w:val="FootnoteReference"/>
        </w:rPr>
        <w:footnoteRef/>
      </w:r>
      <w:r>
        <w:t xml:space="preserve"> </w:t>
      </w:r>
      <w:proofErr w:type="spellStart"/>
      <w:proofErr w:type="gramStart"/>
      <w:r>
        <w:t>Eisen</w:t>
      </w:r>
      <w:proofErr w:type="spellEnd"/>
      <w:r>
        <w:t>, 13.</w:t>
      </w:r>
      <w:proofErr w:type="gramEnd"/>
      <w:r>
        <w:t xml:space="preserve">  </w:t>
      </w:r>
    </w:p>
  </w:footnote>
  <w:footnote w:id="21">
    <w:p w:rsidR="00D50504" w:rsidRDefault="00D50504" w:rsidP="004B3751">
      <w:pPr>
        <w:pStyle w:val="FootnoteText"/>
      </w:pPr>
      <w:r>
        <w:rPr>
          <w:rStyle w:val="FootnoteReference"/>
        </w:rPr>
        <w:footnoteRef/>
      </w:r>
      <w:r>
        <w:t xml:space="preserve"> IEA, </w:t>
      </w:r>
      <w:r>
        <w:rPr>
          <w:i/>
        </w:rPr>
        <w:t>Integration of Renewables</w:t>
      </w:r>
      <w:r>
        <w:t>, 8.</w:t>
      </w:r>
    </w:p>
  </w:footnote>
  <w:footnote w:id="22">
    <w:p w:rsidR="00D50504" w:rsidRPr="001911FA" w:rsidRDefault="00D50504" w:rsidP="004B3751">
      <w:pPr>
        <w:pStyle w:val="FootnoteText"/>
      </w:pPr>
      <w:r>
        <w:rPr>
          <w:rStyle w:val="FootnoteReference"/>
        </w:rPr>
        <w:footnoteRef/>
      </w:r>
      <w:r>
        <w:t xml:space="preserve"> </w:t>
      </w:r>
      <w:r>
        <w:rPr>
          <w:i/>
        </w:rPr>
        <w:t>See</w:t>
      </w:r>
      <w:r>
        <w:t xml:space="preserve"> IEA, </w:t>
      </w:r>
      <w:r>
        <w:rPr>
          <w:i/>
        </w:rPr>
        <w:t>Integration of Renewables</w:t>
      </w:r>
      <w:r>
        <w:t>, 8.</w:t>
      </w:r>
    </w:p>
  </w:footnote>
  <w:footnote w:id="23">
    <w:p w:rsidR="00D50504" w:rsidRPr="006023F5" w:rsidRDefault="00D50504" w:rsidP="004B3751">
      <w:pPr>
        <w:pStyle w:val="FootnoteText"/>
      </w:pPr>
      <w:r>
        <w:rPr>
          <w:rStyle w:val="FootnoteReference"/>
        </w:rPr>
        <w:footnoteRef/>
      </w:r>
      <w:r>
        <w:t xml:space="preserve"> Renewable Energy Law 2006, </w:t>
      </w:r>
      <w:proofErr w:type="gramStart"/>
      <w:r>
        <w:rPr>
          <w:rStyle w:val="tou-3"/>
        </w:rPr>
        <w:t>CLI.1.57066(</w:t>
      </w:r>
      <w:proofErr w:type="gramEnd"/>
      <w:r>
        <w:rPr>
          <w:rStyle w:val="tou-3"/>
        </w:rPr>
        <w:t xml:space="preserve">EN).  </w:t>
      </w:r>
      <w:r>
        <w:rPr>
          <w:rStyle w:val="tou-3"/>
          <w:i/>
        </w:rPr>
        <w:t>See also</w:t>
      </w:r>
      <w:r>
        <w:rPr>
          <w:rStyle w:val="tou-3"/>
        </w:rPr>
        <w:t xml:space="preserve"> </w:t>
      </w:r>
      <w:proofErr w:type="spellStart"/>
      <w:r>
        <w:rPr>
          <w:rStyle w:val="tou-3"/>
        </w:rPr>
        <w:t>Eisen</w:t>
      </w:r>
      <w:proofErr w:type="spellEnd"/>
      <w:r>
        <w:rPr>
          <w:rStyle w:val="tou-3"/>
        </w:rPr>
        <w:t xml:space="preserve">, 26.  </w:t>
      </w:r>
    </w:p>
  </w:footnote>
  <w:footnote w:id="24">
    <w:p w:rsidR="00D50504" w:rsidRDefault="00D50504" w:rsidP="004B3751">
      <w:pPr>
        <w:pStyle w:val="FootnoteText"/>
      </w:pPr>
      <w:r>
        <w:rPr>
          <w:rStyle w:val="FootnoteReference"/>
        </w:rPr>
        <w:footnoteRef/>
      </w:r>
      <w:r>
        <w:t xml:space="preserve"> REL 2006, </w:t>
      </w:r>
      <w:proofErr w:type="gramStart"/>
      <w:r>
        <w:rPr>
          <w:rStyle w:val="tou-3"/>
        </w:rPr>
        <w:t>CLI.1.57066(</w:t>
      </w:r>
      <w:proofErr w:type="gramEnd"/>
      <w:r>
        <w:rPr>
          <w:rStyle w:val="tou-3"/>
        </w:rPr>
        <w:t xml:space="preserve">EN), Article 14.  </w:t>
      </w:r>
    </w:p>
  </w:footnote>
  <w:footnote w:id="25">
    <w:p w:rsidR="00D50504" w:rsidRDefault="00D50504" w:rsidP="004B3751">
      <w:pPr>
        <w:pStyle w:val="FootnoteText"/>
      </w:pPr>
      <w:r>
        <w:rPr>
          <w:rStyle w:val="FootnoteReference"/>
        </w:rPr>
        <w:footnoteRef/>
      </w:r>
      <w:r>
        <w:t xml:space="preserve"> REL 2006, </w:t>
      </w:r>
      <w:proofErr w:type="gramStart"/>
      <w:r>
        <w:rPr>
          <w:rStyle w:val="tou-3"/>
        </w:rPr>
        <w:t>CLI.1.57066(</w:t>
      </w:r>
      <w:proofErr w:type="gramEnd"/>
      <w:r>
        <w:rPr>
          <w:rStyle w:val="tou-3"/>
        </w:rPr>
        <w:t xml:space="preserve">EN), Article 21.  </w:t>
      </w:r>
    </w:p>
  </w:footnote>
  <w:footnote w:id="26">
    <w:p w:rsidR="00D50504" w:rsidRDefault="00D50504" w:rsidP="004B3751">
      <w:pPr>
        <w:pStyle w:val="FootnoteText"/>
      </w:pPr>
      <w:r>
        <w:rPr>
          <w:rStyle w:val="FootnoteReference"/>
        </w:rPr>
        <w:footnoteRef/>
      </w:r>
      <w:r>
        <w:t xml:space="preserve"> REL 2006, </w:t>
      </w:r>
      <w:proofErr w:type="gramStart"/>
      <w:r>
        <w:rPr>
          <w:rStyle w:val="tou-3"/>
        </w:rPr>
        <w:t>CLI.1.57066(</w:t>
      </w:r>
      <w:proofErr w:type="gramEnd"/>
      <w:r>
        <w:rPr>
          <w:rStyle w:val="tou-3"/>
        </w:rPr>
        <w:t>EN), Article 19.</w:t>
      </w:r>
    </w:p>
  </w:footnote>
  <w:footnote w:id="27">
    <w:p w:rsidR="00D50504" w:rsidRDefault="00D50504" w:rsidP="004B3751">
      <w:pPr>
        <w:pStyle w:val="FootnoteText"/>
      </w:pPr>
      <w:r>
        <w:rPr>
          <w:rStyle w:val="FootnoteReference"/>
        </w:rPr>
        <w:footnoteRef/>
      </w:r>
      <w:r>
        <w:t xml:space="preserve"> </w:t>
      </w:r>
      <w:proofErr w:type="spellStart"/>
      <w:proofErr w:type="gramStart"/>
      <w:r>
        <w:t>Eisen</w:t>
      </w:r>
      <w:proofErr w:type="spellEnd"/>
      <w:r>
        <w:t>, 28.</w:t>
      </w:r>
      <w:proofErr w:type="gramEnd"/>
      <w:r>
        <w:t xml:space="preserve">  </w:t>
      </w:r>
    </w:p>
  </w:footnote>
  <w:footnote w:id="28">
    <w:p w:rsidR="00D50504" w:rsidRDefault="00D50504" w:rsidP="004B3751">
      <w:pPr>
        <w:pStyle w:val="FootnoteText"/>
      </w:pPr>
      <w:r>
        <w:rPr>
          <w:rStyle w:val="FootnoteReference"/>
        </w:rPr>
        <w:footnoteRef/>
      </w:r>
      <w:r>
        <w:t xml:space="preserve"> </w:t>
      </w:r>
      <w:proofErr w:type="spellStart"/>
      <w:proofErr w:type="gramStart"/>
      <w:r>
        <w:t>Eisen</w:t>
      </w:r>
      <w:proofErr w:type="spellEnd"/>
      <w:r>
        <w:t>, 30.</w:t>
      </w:r>
      <w:proofErr w:type="gramEnd"/>
    </w:p>
  </w:footnote>
  <w:footnote w:id="29">
    <w:p w:rsidR="00D50504" w:rsidRDefault="00D50504" w:rsidP="004B3751">
      <w:pPr>
        <w:pStyle w:val="FootnoteText"/>
      </w:pPr>
      <w:r>
        <w:rPr>
          <w:rStyle w:val="FootnoteReference"/>
        </w:rPr>
        <w:footnoteRef/>
      </w:r>
      <w:r>
        <w:t xml:space="preserve"> </w:t>
      </w:r>
      <w:proofErr w:type="spellStart"/>
      <w:proofErr w:type="gramStart"/>
      <w:r>
        <w:t>Eisen</w:t>
      </w:r>
      <w:proofErr w:type="spellEnd"/>
      <w:r>
        <w:t>, 30.</w:t>
      </w:r>
      <w:proofErr w:type="gramEnd"/>
    </w:p>
  </w:footnote>
  <w:footnote w:id="30">
    <w:p w:rsidR="00D50504" w:rsidRDefault="00D50504" w:rsidP="004B3751">
      <w:pPr>
        <w:pStyle w:val="FootnoteText"/>
      </w:pPr>
      <w:r>
        <w:rPr>
          <w:rStyle w:val="FootnoteReference"/>
        </w:rPr>
        <w:footnoteRef/>
      </w:r>
      <w:r>
        <w:t xml:space="preserve"> </w:t>
      </w:r>
      <w:proofErr w:type="spellStart"/>
      <w:proofErr w:type="gramStart"/>
      <w:r>
        <w:t>Eisen</w:t>
      </w:r>
      <w:proofErr w:type="spellEnd"/>
      <w:r>
        <w:t>, 31.</w:t>
      </w:r>
      <w:proofErr w:type="gramEnd"/>
      <w:r>
        <w:t xml:space="preserve">  </w:t>
      </w:r>
    </w:p>
  </w:footnote>
  <w:footnote w:id="31">
    <w:p w:rsidR="00D50504" w:rsidRPr="008955E1" w:rsidRDefault="00D50504" w:rsidP="004B3751">
      <w:pPr>
        <w:pStyle w:val="FootnoteText"/>
      </w:pPr>
      <w:r>
        <w:rPr>
          <w:rStyle w:val="FootnoteReference"/>
        </w:rPr>
        <w:footnoteRef/>
      </w:r>
      <w:r>
        <w:t xml:space="preserve"> </w:t>
      </w:r>
      <w:r w:rsidRPr="00D76EC5">
        <w:rPr>
          <w:rFonts w:hint="eastAsia"/>
          <w:i/>
        </w:rPr>
        <w:t>Study on Wind Power Industry Development and FIT</w:t>
      </w:r>
      <w:r>
        <w:t xml:space="preserve"> (</w:t>
      </w:r>
      <w:r>
        <w:rPr>
          <w:rFonts w:hint="eastAsia"/>
        </w:rPr>
        <w:t xml:space="preserve">Task Force of the Energy &amp; Water Supply Committee under </w:t>
      </w:r>
      <w:r w:rsidRPr="00B3498E">
        <w:t>China Price Association</w:t>
      </w:r>
      <w:r>
        <w:t>,</w:t>
      </w:r>
      <w:r>
        <w:rPr>
          <w:rFonts w:hint="eastAsia"/>
        </w:rPr>
        <w:t xml:space="preserve"> </w:t>
      </w:r>
      <w:r w:rsidRPr="00D76EC5">
        <w:rPr>
          <w:i/>
        </w:rPr>
        <w:t>Price:</w:t>
      </w:r>
      <w:r w:rsidRPr="00D76EC5">
        <w:rPr>
          <w:rFonts w:hint="eastAsia"/>
          <w:i/>
        </w:rPr>
        <w:t xml:space="preserve"> </w:t>
      </w:r>
      <w:r w:rsidRPr="00D76EC5">
        <w:rPr>
          <w:i/>
        </w:rPr>
        <w:t>Theory &amp; Practice</w:t>
      </w:r>
      <w:r>
        <w:t>, ed.</w:t>
      </w:r>
      <w:r>
        <w:rPr>
          <w:rFonts w:hint="eastAsia"/>
        </w:rPr>
        <w:t xml:space="preserve"> 2010)</w:t>
      </w:r>
      <w:r>
        <w:t xml:space="preserve">.  </w:t>
      </w:r>
      <w:r>
        <w:rPr>
          <w:i/>
        </w:rPr>
        <w:t>See also</w:t>
      </w:r>
      <w:r>
        <w:t xml:space="preserve"> </w:t>
      </w:r>
      <w:proofErr w:type="spellStart"/>
      <w:r>
        <w:t>Eisen</w:t>
      </w:r>
      <w:proofErr w:type="spellEnd"/>
      <w:r>
        <w:t xml:space="preserve">, 31.  </w:t>
      </w:r>
    </w:p>
  </w:footnote>
  <w:footnote w:id="32">
    <w:p w:rsidR="00D50504" w:rsidRDefault="00D50504" w:rsidP="004B3751">
      <w:pPr>
        <w:pStyle w:val="FootnoteText"/>
      </w:pPr>
      <w:r>
        <w:rPr>
          <w:rStyle w:val="FootnoteReference"/>
        </w:rPr>
        <w:footnoteRef/>
      </w:r>
      <w:r>
        <w:t xml:space="preserve"> </w:t>
      </w:r>
      <w:proofErr w:type="gramStart"/>
      <w:r>
        <w:t>REL 2006, Article 14.</w:t>
      </w:r>
      <w:proofErr w:type="gramEnd"/>
    </w:p>
  </w:footnote>
  <w:footnote w:id="33">
    <w:p w:rsidR="00D50504" w:rsidRPr="006E5B27" w:rsidRDefault="00D50504" w:rsidP="004B3751">
      <w:pPr>
        <w:pStyle w:val="FootnoteText"/>
      </w:pPr>
      <w:r>
        <w:rPr>
          <w:rStyle w:val="FootnoteReference"/>
        </w:rPr>
        <w:footnoteRef/>
      </w:r>
      <w:r>
        <w:t xml:space="preserve"> </w:t>
      </w:r>
      <w:r>
        <w:rPr>
          <w:i/>
        </w:rPr>
        <w:t>See</w:t>
      </w:r>
      <w:r>
        <w:t xml:space="preserve"> </w:t>
      </w:r>
      <w:proofErr w:type="spellStart"/>
      <w:r>
        <w:t>McElwee</w:t>
      </w:r>
      <w:proofErr w:type="spellEnd"/>
      <w:r>
        <w:t xml:space="preserve">, </w:t>
      </w:r>
      <w:r w:rsidRPr="003A4A73">
        <w:rPr>
          <w:i/>
        </w:rPr>
        <w:t>China’s Renewable Energy Law Amendments</w:t>
      </w:r>
      <w:r>
        <w:t xml:space="preserve">, </w:t>
      </w:r>
      <w:r w:rsidRPr="003A4A73">
        <w:rPr>
          <w:smallCaps/>
        </w:rPr>
        <w:t>China Environmental Law</w:t>
      </w:r>
      <w:r>
        <w:rPr>
          <w:smallCaps/>
        </w:rPr>
        <w:t xml:space="preserve">, </w:t>
      </w:r>
      <w:r>
        <w:t xml:space="preserve">Dec 28, 2009, </w:t>
      </w:r>
      <w:r w:rsidRPr="00B34313">
        <w:t>http://www.chinaenvironmentallaw.com/2009/12/28/chinas-renewable-energy-law-amendments/</w:t>
      </w:r>
    </w:p>
  </w:footnote>
  <w:footnote w:id="34">
    <w:p w:rsidR="00D50504" w:rsidRDefault="00D50504" w:rsidP="0098238B">
      <w:pPr>
        <w:pStyle w:val="FootnoteText"/>
      </w:pPr>
      <w:r>
        <w:rPr>
          <w:rStyle w:val="FootnoteReference"/>
        </w:rPr>
        <w:footnoteRef/>
      </w:r>
      <w:r>
        <w:t xml:space="preserve"> REL 2009 (amended), Art 14.  </w:t>
      </w:r>
    </w:p>
  </w:footnote>
  <w:footnote w:id="35">
    <w:p w:rsidR="00D50504" w:rsidRPr="008519A0" w:rsidRDefault="00D50504" w:rsidP="0098238B">
      <w:pPr>
        <w:pStyle w:val="FootnoteText"/>
        <w:rPr>
          <w:i/>
        </w:rPr>
      </w:pPr>
      <w:r>
        <w:rPr>
          <w:rStyle w:val="FootnoteReference"/>
        </w:rPr>
        <w:footnoteRef/>
      </w:r>
      <w:r>
        <w:t xml:space="preserve"> </w:t>
      </w:r>
      <w:proofErr w:type="spellStart"/>
      <w:r>
        <w:t>McElwee</w:t>
      </w:r>
      <w:proofErr w:type="spellEnd"/>
      <w:r>
        <w:t xml:space="preserve">, </w:t>
      </w:r>
      <w:r w:rsidRPr="007167FB">
        <w:rPr>
          <w:i/>
        </w:rPr>
        <w:t>China’s Renewable Energy Law Amendments</w:t>
      </w:r>
      <w:r>
        <w:t xml:space="preserve">. </w:t>
      </w:r>
    </w:p>
  </w:footnote>
  <w:footnote w:id="36">
    <w:p w:rsidR="00D50504" w:rsidRPr="00A24090" w:rsidRDefault="00D50504" w:rsidP="0098238B">
      <w:pPr>
        <w:pStyle w:val="FootnoteText"/>
      </w:pPr>
      <w:r>
        <w:rPr>
          <w:rStyle w:val="FootnoteReference"/>
        </w:rPr>
        <w:footnoteRef/>
      </w:r>
      <w:r>
        <w:t xml:space="preserve"> </w:t>
      </w:r>
      <w:proofErr w:type="gramStart"/>
      <w:r>
        <w:t>REL 2006.</w:t>
      </w:r>
      <w:proofErr w:type="gramEnd"/>
      <w:r>
        <w:t xml:space="preserve">  </w:t>
      </w:r>
      <w:r>
        <w:rPr>
          <w:i/>
        </w:rPr>
        <w:t>See also</w:t>
      </w:r>
      <w:r>
        <w:t xml:space="preserve"> </w:t>
      </w:r>
      <w:proofErr w:type="spellStart"/>
      <w:r>
        <w:t>McElwee</w:t>
      </w:r>
      <w:proofErr w:type="spellEnd"/>
      <w:r>
        <w:t>.</w:t>
      </w:r>
    </w:p>
  </w:footnote>
  <w:footnote w:id="37">
    <w:p w:rsidR="00D50504" w:rsidRPr="00B02FB6" w:rsidRDefault="00D50504" w:rsidP="0098238B">
      <w:pPr>
        <w:pStyle w:val="FootnoteText"/>
      </w:pPr>
      <w:r>
        <w:rPr>
          <w:rStyle w:val="FootnoteReference"/>
        </w:rPr>
        <w:footnoteRef/>
      </w:r>
      <w:r>
        <w:t xml:space="preserve"> REL 2009 (amended) Articles 29-31.  </w:t>
      </w:r>
    </w:p>
  </w:footnote>
  <w:footnote w:id="38">
    <w:p w:rsidR="00D50504" w:rsidRDefault="00D50504" w:rsidP="0098238B">
      <w:pPr>
        <w:pStyle w:val="FootnoteText"/>
      </w:pPr>
      <w:r>
        <w:rPr>
          <w:rStyle w:val="FootnoteReference"/>
        </w:rPr>
        <w:footnoteRef/>
      </w:r>
      <w:r>
        <w:t xml:space="preserve"> REL 2009 (amended) Article 14.  </w:t>
      </w:r>
    </w:p>
  </w:footnote>
  <w:footnote w:id="39">
    <w:p w:rsidR="00D50504" w:rsidRPr="002D3500" w:rsidRDefault="00D50504" w:rsidP="0098238B">
      <w:pPr>
        <w:pStyle w:val="FootnoteText"/>
      </w:pPr>
      <w:r>
        <w:rPr>
          <w:rStyle w:val="FootnoteReference"/>
        </w:rPr>
        <w:footnoteRef/>
      </w:r>
      <w:r>
        <w:t xml:space="preserve"> </w:t>
      </w:r>
      <w:r>
        <w:rPr>
          <w:i/>
        </w:rPr>
        <w:t>China Wind Technology Roadmap 2050, English Summary</w:t>
      </w:r>
      <w:r>
        <w:t xml:space="preserve">, (IEA ed., 2011), </w:t>
      </w:r>
      <w:r w:rsidRPr="00D23E72">
        <w:t>http://www.iea.org/index_info.asp?ID=2135</w:t>
      </w:r>
    </w:p>
  </w:footnote>
  <w:footnote w:id="40">
    <w:p w:rsidR="00D50504" w:rsidRPr="00666F51" w:rsidRDefault="00D50504" w:rsidP="0098238B">
      <w:pPr>
        <w:pStyle w:val="FootnoteText"/>
      </w:pPr>
      <w:r>
        <w:rPr>
          <w:rStyle w:val="FootnoteReference"/>
        </w:rPr>
        <w:footnoteRef/>
      </w:r>
      <w:r>
        <w:t xml:space="preserve">  </w:t>
      </w:r>
      <w:proofErr w:type="gramStart"/>
      <w:r>
        <w:rPr>
          <w:i/>
        </w:rPr>
        <w:t>Roadmap</w:t>
      </w:r>
      <w:r>
        <w:t>, 1.</w:t>
      </w:r>
      <w:proofErr w:type="gramEnd"/>
    </w:p>
  </w:footnote>
  <w:footnote w:id="41">
    <w:p w:rsidR="00D50504" w:rsidRDefault="00D50504" w:rsidP="0098238B">
      <w:pPr>
        <w:pStyle w:val="FootnoteText"/>
      </w:pPr>
      <w:r>
        <w:rPr>
          <w:rStyle w:val="FootnoteReference"/>
        </w:rPr>
        <w:footnoteRef/>
      </w:r>
      <w:r>
        <w:t xml:space="preserve">  </w:t>
      </w:r>
      <w:r>
        <w:rPr>
          <w:i/>
        </w:rPr>
        <w:t>Roadmap</w:t>
      </w:r>
      <w:r>
        <w:t>, p. 1.</w:t>
      </w:r>
    </w:p>
  </w:footnote>
  <w:footnote w:id="42">
    <w:p w:rsidR="00D50504" w:rsidRDefault="00D50504" w:rsidP="0098238B">
      <w:pPr>
        <w:pStyle w:val="FootnoteText"/>
      </w:pPr>
      <w:r>
        <w:rPr>
          <w:rStyle w:val="FootnoteReference"/>
        </w:rPr>
        <w:footnoteRef/>
      </w:r>
      <w:r>
        <w:t xml:space="preserve"> </w:t>
      </w:r>
      <w:r>
        <w:rPr>
          <w:rFonts w:hint="eastAsia"/>
        </w:rPr>
        <w:t xml:space="preserve">Task Force of the Energy &amp; Water Supply Committee under </w:t>
      </w:r>
      <w:r w:rsidRPr="00B3498E">
        <w:t>China Price Association</w:t>
      </w:r>
      <w:r>
        <w:rPr>
          <w:rFonts w:hint="eastAsia"/>
        </w:rPr>
        <w:t xml:space="preserve">: Study on Wind Power Industry Development and FIT, published on </w:t>
      </w:r>
      <w:r>
        <w:t>journal</w:t>
      </w:r>
      <w:r>
        <w:rPr>
          <w:rFonts w:hint="eastAsia"/>
        </w:rPr>
        <w:t xml:space="preserve"> of </w:t>
      </w:r>
      <w:r w:rsidRPr="00B3498E">
        <w:t>“Price:</w:t>
      </w:r>
      <w:r>
        <w:rPr>
          <w:rFonts w:hint="eastAsia"/>
        </w:rPr>
        <w:t xml:space="preserve"> </w:t>
      </w:r>
      <w:r w:rsidRPr="00B3498E">
        <w:t>Theory &amp; Practice”</w:t>
      </w:r>
      <w:r>
        <w:rPr>
          <w:rFonts w:hint="eastAsia"/>
        </w:rPr>
        <w:t>, 2010.04</w:t>
      </w:r>
      <w:r>
        <w:t xml:space="preserve">. </w:t>
      </w:r>
    </w:p>
  </w:footnote>
  <w:footnote w:id="43">
    <w:p w:rsidR="00D50504" w:rsidRDefault="00D50504" w:rsidP="0098238B">
      <w:pPr>
        <w:pStyle w:val="FootnoteText"/>
      </w:pPr>
      <w:r>
        <w:rPr>
          <w:rStyle w:val="FootnoteReference"/>
        </w:rPr>
        <w:footnoteRef/>
      </w:r>
      <w:r>
        <w:t xml:space="preserve"> </w:t>
      </w:r>
      <w:r w:rsidRPr="00D76EC5">
        <w:rPr>
          <w:rFonts w:hint="eastAsia"/>
          <w:i/>
        </w:rPr>
        <w:t>Study on Wind Power Industry Development and FIT</w:t>
      </w:r>
      <w:r>
        <w:t xml:space="preserve"> (</w:t>
      </w:r>
      <w:r>
        <w:rPr>
          <w:rFonts w:hint="eastAsia"/>
        </w:rPr>
        <w:t xml:space="preserve">Task Force of the Energy &amp; Water Supply Committee under </w:t>
      </w:r>
      <w:r w:rsidRPr="00B3498E">
        <w:t>China Price Association</w:t>
      </w:r>
      <w:r>
        <w:t>,</w:t>
      </w:r>
      <w:r>
        <w:rPr>
          <w:rFonts w:hint="eastAsia"/>
        </w:rPr>
        <w:t xml:space="preserve"> </w:t>
      </w:r>
      <w:r w:rsidRPr="00D76EC5">
        <w:rPr>
          <w:i/>
        </w:rPr>
        <w:t>Price:</w:t>
      </w:r>
      <w:r w:rsidRPr="00D76EC5">
        <w:rPr>
          <w:rFonts w:hint="eastAsia"/>
          <w:i/>
        </w:rPr>
        <w:t xml:space="preserve"> </w:t>
      </w:r>
      <w:r w:rsidRPr="00D76EC5">
        <w:rPr>
          <w:i/>
        </w:rPr>
        <w:t>Theory &amp; Practice</w:t>
      </w:r>
      <w:r>
        <w:t>, ed.</w:t>
      </w:r>
      <w:r>
        <w:rPr>
          <w:rFonts w:hint="eastAsia"/>
        </w:rPr>
        <w:t xml:space="preserve"> 2010)</w:t>
      </w:r>
      <w:r>
        <w:t xml:space="preserve">. </w:t>
      </w:r>
    </w:p>
  </w:footnote>
  <w:footnote w:id="44">
    <w:p w:rsidR="00D50504" w:rsidRDefault="00D50504" w:rsidP="0098238B">
      <w:pPr>
        <w:pStyle w:val="FootnoteText"/>
      </w:pPr>
      <w:r>
        <w:rPr>
          <w:rStyle w:val="FootnoteReference"/>
        </w:rPr>
        <w:footnoteRef/>
      </w:r>
      <w:r>
        <w:t xml:space="preserve"> </w:t>
      </w:r>
      <w:proofErr w:type="spellStart"/>
      <w:proofErr w:type="gramStart"/>
      <w:r>
        <w:t>Eisen</w:t>
      </w:r>
      <w:proofErr w:type="spellEnd"/>
      <w:r>
        <w:t>, 44.</w:t>
      </w:r>
      <w:proofErr w:type="gramEnd"/>
    </w:p>
  </w:footnote>
  <w:footnote w:id="45">
    <w:p w:rsidR="00D50504" w:rsidRDefault="00D50504" w:rsidP="0098238B">
      <w:pPr>
        <w:pStyle w:val="FootnoteText"/>
      </w:pPr>
      <w:r>
        <w:rPr>
          <w:rStyle w:val="FootnoteReference"/>
        </w:rPr>
        <w:footnoteRef/>
      </w:r>
      <w:r>
        <w:t xml:space="preserve"> </w:t>
      </w:r>
      <w:r>
        <w:rPr>
          <w:i/>
        </w:rPr>
        <w:t>Id</w:t>
      </w:r>
      <w:r>
        <w:t>.</w:t>
      </w:r>
    </w:p>
  </w:footnote>
  <w:footnote w:id="46">
    <w:p w:rsidR="00D50504" w:rsidRDefault="00D50504" w:rsidP="0098238B">
      <w:pPr>
        <w:pStyle w:val="FootnoteText"/>
      </w:pPr>
      <w:r>
        <w:rPr>
          <w:rStyle w:val="FootnoteReference"/>
        </w:rPr>
        <w:footnoteRef/>
      </w:r>
      <w:r>
        <w:t xml:space="preserve"> </w:t>
      </w:r>
      <w:r w:rsidRPr="00D76EC5">
        <w:rPr>
          <w:rFonts w:hint="eastAsia"/>
          <w:i/>
        </w:rPr>
        <w:t xml:space="preserve">Study on Wind Power Industry Development and </w:t>
      </w:r>
      <w:proofErr w:type="gramStart"/>
      <w:r w:rsidRPr="00D76EC5">
        <w:rPr>
          <w:rFonts w:hint="eastAsia"/>
          <w:i/>
        </w:rPr>
        <w:t>FIT</w:t>
      </w:r>
      <w:r>
        <w:t xml:space="preserve"> .</w:t>
      </w:r>
      <w:proofErr w:type="gramEnd"/>
    </w:p>
  </w:footnote>
  <w:footnote w:id="47">
    <w:p w:rsidR="00D50504" w:rsidRDefault="00D50504" w:rsidP="0098238B">
      <w:pPr>
        <w:pStyle w:val="FootnoteText"/>
      </w:pPr>
      <w:r>
        <w:rPr>
          <w:rStyle w:val="FootnoteReference"/>
        </w:rPr>
        <w:footnoteRef/>
      </w:r>
      <w:r>
        <w:t xml:space="preserve"> </w:t>
      </w:r>
      <w:r>
        <w:rPr>
          <w:i/>
        </w:rPr>
        <w:t>Id</w:t>
      </w:r>
      <w:r>
        <w:t xml:space="preserve">. </w:t>
      </w:r>
    </w:p>
  </w:footnote>
  <w:footnote w:id="48">
    <w:p w:rsidR="00D50504" w:rsidRDefault="00D50504" w:rsidP="0098238B">
      <w:pPr>
        <w:pStyle w:val="FootnoteText"/>
      </w:pPr>
      <w:r>
        <w:rPr>
          <w:rStyle w:val="FootnoteReference"/>
        </w:rPr>
        <w:footnoteRef/>
      </w:r>
      <w:r>
        <w:t xml:space="preserve"> </w:t>
      </w:r>
      <w:proofErr w:type="spellStart"/>
      <w:proofErr w:type="gramStart"/>
      <w:r>
        <w:t>Eisen</w:t>
      </w:r>
      <w:proofErr w:type="spellEnd"/>
      <w:r>
        <w:t>, 44.</w:t>
      </w:r>
      <w:proofErr w:type="gramEnd"/>
      <w:r>
        <w:t xml:space="preserve">   </w:t>
      </w:r>
    </w:p>
  </w:footnote>
  <w:footnote w:id="49">
    <w:p w:rsidR="00D50504" w:rsidRDefault="00D50504" w:rsidP="0098238B">
      <w:pPr>
        <w:pStyle w:val="FootnoteText"/>
      </w:pPr>
      <w:r>
        <w:rPr>
          <w:rStyle w:val="FootnoteReference"/>
        </w:rPr>
        <w:footnoteRef/>
      </w:r>
      <w:r>
        <w:t xml:space="preserve"> </w:t>
      </w:r>
      <w:r>
        <w:rPr>
          <w:i/>
        </w:rPr>
        <w:t>Id</w:t>
      </w:r>
      <w:r>
        <w:t>.</w:t>
      </w:r>
    </w:p>
  </w:footnote>
  <w:footnote w:id="50">
    <w:p w:rsidR="00D50504" w:rsidRDefault="00D50504" w:rsidP="0098238B">
      <w:pPr>
        <w:pStyle w:val="FootnoteText"/>
      </w:pPr>
      <w:r>
        <w:rPr>
          <w:rStyle w:val="FootnoteReference"/>
        </w:rPr>
        <w:footnoteRef/>
      </w:r>
      <w:r>
        <w:t xml:space="preserve"> </w:t>
      </w:r>
      <w:r>
        <w:rPr>
          <w:i/>
        </w:rPr>
        <w:t>Id</w:t>
      </w:r>
      <w:r>
        <w:t xml:space="preserve">.  </w:t>
      </w:r>
    </w:p>
  </w:footnote>
  <w:footnote w:id="51">
    <w:p w:rsidR="00D50504" w:rsidRDefault="00D50504" w:rsidP="0098238B">
      <w:pPr>
        <w:pStyle w:val="FootnoteText"/>
      </w:pPr>
      <w:r>
        <w:rPr>
          <w:rStyle w:val="FootnoteReference"/>
        </w:rPr>
        <w:footnoteRef/>
      </w:r>
      <w:r>
        <w:t xml:space="preserve"> </w:t>
      </w:r>
      <w:r w:rsidRPr="00D76EC5">
        <w:rPr>
          <w:rFonts w:hint="eastAsia"/>
          <w:i/>
        </w:rPr>
        <w:t xml:space="preserve">Study on Wind Power Industry Development and </w:t>
      </w:r>
      <w:proofErr w:type="gramStart"/>
      <w:r w:rsidRPr="00D76EC5">
        <w:rPr>
          <w:rFonts w:hint="eastAsia"/>
          <w:i/>
        </w:rPr>
        <w:t>FIT</w:t>
      </w:r>
      <w:r>
        <w:t xml:space="preserve"> .</w:t>
      </w:r>
      <w:proofErr w:type="gramEnd"/>
    </w:p>
  </w:footnote>
  <w:footnote w:id="52">
    <w:p w:rsidR="00D50504" w:rsidRDefault="00D50504" w:rsidP="0098238B">
      <w:pPr>
        <w:pStyle w:val="FootnoteText"/>
      </w:pPr>
      <w:r>
        <w:rPr>
          <w:rStyle w:val="FootnoteReference"/>
        </w:rPr>
        <w:footnoteRef/>
      </w:r>
      <w:r>
        <w:t xml:space="preserve"> </w:t>
      </w:r>
      <w:proofErr w:type="spellStart"/>
      <w:proofErr w:type="gramStart"/>
      <w:r>
        <w:t>Eisen</w:t>
      </w:r>
      <w:proofErr w:type="spellEnd"/>
      <w:r>
        <w:t>, 45.</w:t>
      </w:r>
      <w:proofErr w:type="gramEnd"/>
    </w:p>
  </w:footnote>
  <w:footnote w:id="53">
    <w:p w:rsidR="00D50504" w:rsidRDefault="00D50504" w:rsidP="0098238B">
      <w:pPr>
        <w:pStyle w:val="FootnoteText"/>
      </w:pPr>
      <w:r>
        <w:rPr>
          <w:rStyle w:val="FootnoteReference"/>
        </w:rPr>
        <w:footnoteRef/>
      </w:r>
      <w:r>
        <w:t xml:space="preserve"> </w:t>
      </w:r>
      <w:r>
        <w:rPr>
          <w:i/>
        </w:rPr>
        <w:t>Id</w:t>
      </w:r>
      <w:r>
        <w:t>.</w:t>
      </w:r>
    </w:p>
  </w:footnote>
  <w:footnote w:id="54">
    <w:p w:rsidR="00D50504" w:rsidRPr="003F2847" w:rsidRDefault="00D50504" w:rsidP="0098238B">
      <w:pPr>
        <w:pStyle w:val="FootnoteText"/>
      </w:pPr>
      <w:r>
        <w:rPr>
          <w:rStyle w:val="FootnoteReference"/>
        </w:rPr>
        <w:footnoteRef/>
      </w:r>
      <w:r>
        <w:t xml:space="preserve"> </w:t>
      </w:r>
      <w:proofErr w:type="gramStart"/>
      <w:r>
        <w:rPr>
          <w:i/>
        </w:rPr>
        <w:t>Roadmap</w:t>
      </w:r>
      <w:r>
        <w:t>, 1, 3.</w:t>
      </w:r>
      <w:proofErr w:type="gramEnd"/>
    </w:p>
  </w:footnote>
  <w:footnote w:id="55">
    <w:p w:rsidR="00D50504" w:rsidRPr="003E33C0" w:rsidRDefault="00D50504" w:rsidP="0098238B">
      <w:pPr>
        <w:pStyle w:val="FootnoteText"/>
      </w:pPr>
      <w:r>
        <w:rPr>
          <w:rStyle w:val="FootnoteReference"/>
        </w:rPr>
        <w:footnoteRef/>
      </w:r>
      <w:r>
        <w:t xml:space="preserve"> </w:t>
      </w:r>
      <w:proofErr w:type="gramStart"/>
      <w:r>
        <w:rPr>
          <w:i/>
        </w:rPr>
        <w:t>Roadmap</w:t>
      </w:r>
      <w:r>
        <w:t>, 3.</w:t>
      </w:r>
      <w:proofErr w:type="gramEnd"/>
    </w:p>
  </w:footnote>
  <w:footnote w:id="56">
    <w:p w:rsidR="00D50504" w:rsidRPr="005050D3" w:rsidRDefault="00D50504" w:rsidP="0098238B">
      <w:pPr>
        <w:pStyle w:val="FootnoteText"/>
      </w:pPr>
      <w:r>
        <w:rPr>
          <w:rStyle w:val="FootnoteReference"/>
        </w:rPr>
        <w:footnoteRef/>
      </w:r>
      <w:r>
        <w:t xml:space="preserve"> </w:t>
      </w:r>
      <w:proofErr w:type="gramStart"/>
      <w:r>
        <w:rPr>
          <w:i/>
        </w:rPr>
        <w:t>Roadmap,</w:t>
      </w:r>
      <w:r>
        <w:t xml:space="preserve"> 2.</w:t>
      </w:r>
      <w:proofErr w:type="gramEnd"/>
      <w:r>
        <w:t xml:space="preserve">  </w:t>
      </w:r>
    </w:p>
  </w:footnote>
  <w:footnote w:id="57">
    <w:p w:rsidR="00D50504" w:rsidRDefault="00D50504" w:rsidP="0076240D">
      <w:pPr>
        <w:pStyle w:val="FootnoteText"/>
      </w:pPr>
      <w:r>
        <w:rPr>
          <w:rStyle w:val="FootnoteReference"/>
        </w:rPr>
        <w:footnoteRef/>
      </w:r>
      <w:r>
        <w:t xml:space="preserve"> Jing Yang, </w:t>
      </w:r>
      <w:r>
        <w:rPr>
          <w:i/>
        </w:rPr>
        <w:t xml:space="preserve">China’s Wind Farms Come </w:t>
      </w:r>
      <w:proofErr w:type="gramStart"/>
      <w:r>
        <w:rPr>
          <w:i/>
        </w:rPr>
        <w:t>With</w:t>
      </w:r>
      <w:proofErr w:type="gramEnd"/>
      <w:r>
        <w:rPr>
          <w:i/>
        </w:rPr>
        <w:t xml:space="preserve"> a Catch: Coal Plants</w:t>
      </w:r>
      <w:r>
        <w:t xml:space="preserve">, </w:t>
      </w:r>
      <w:r>
        <w:rPr>
          <w:smallCaps/>
        </w:rPr>
        <w:t>The Wall Street Journal</w:t>
      </w:r>
      <w:r>
        <w:t xml:space="preserve">, (Sept. 28, 2009), </w:t>
      </w:r>
      <w:r w:rsidRPr="00660CA0">
        <w:t>http://online.wsj.com/article/SB125409730711245037.html</w:t>
      </w:r>
      <w:r>
        <w:t xml:space="preserve">.  </w:t>
      </w:r>
    </w:p>
  </w:footnote>
  <w:footnote w:id="58">
    <w:p w:rsidR="00D50504" w:rsidRPr="007627DF" w:rsidRDefault="00D50504" w:rsidP="0076240D">
      <w:pPr>
        <w:pStyle w:val="FootnoteText"/>
      </w:pPr>
      <w:r>
        <w:rPr>
          <w:rStyle w:val="FootnoteReference"/>
        </w:rPr>
        <w:footnoteRef/>
      </w:r>
      <w:r>
        <w:t xml:space="preserve"> </w:t>
      </w:r>
      <w:proofErr w:type="gramStart"/>
      <w:r>
        <w:rPr>
          <w:i/>
        </w:rPr>
        <w:t>Integration of Renewables</w:t>
      </w:r>
      <w:r>
        <w:t xml:space="preserve"> (International Energy Agency ed., Working Paper, 2011), 25.</w:t>
      </w:r>
      <w:proofErr w:type="gramEnd"/>
      <w:r>
        <w:t xml:space="preserve">  </w:t>
      </w:r>
    </w:p>
  </w:footnote>
  <w:footnote w:id="59">
    <w:p w:rsidR="00D50504" w:rsidRDefault="00D50504" w:rsidP="0076240D">
      <w:pPr>
        <w:pStyle w:val="FootnoteText"/>
      </w:pPr>
      <w:r>
        <w:rPr>
          <w:rStyle w:val="FootnoteReference"/>
        </w:rPr>
        <w:footnoteRef/>
      </w:r>
      <w:r>
        <w:t xml:space="preserve"> Anthony Kim and </w:t>
      </w:r>
      <w:proofErr w:type="spellStart"/>
      <w:r>
        <w:t>Olia</w:t>
      </w:r>
      <w:proofErr w:type="spellEnd"/>
      <w:r>
        <w:t xml:space="preserve"> Wang, </w:t>
      </w:r>
      <w:proofErr w:type="spellStart"/>
      <w:r>
        <w:rPr>
          <w:i/>
        </w:rPr>
        <w:t>Sinovel</w:t>
      </w:r>
      <w:proofErr w:type="spellEnd"/>
      <w:r>
        <w:rPr>
          <w:i/>
        </w:rPr>
        <w:t xml:space="preserve"> legal action cast shadow over potential export opportunities in China’s wind power industry</w:t>
      </w:r>
      <w:r>
        <w:t xml:space="preserve">, </w:t>
      </w:r>
      <w:r>
        <w:rPr>
          <w:smallCaps/>
        </w:rPr>
        <w:t>Financial Times (</w:t>
      </w:r>
      <w:r>
        <w:t xml:space="preserve">Sept. 19, 2011), </w:t>
      </w:r>
      <w:r w:rsidRPr="007B00E8">
        <w:t>http://www.ft.com/cms/s/2/83fef47e-e2cc-11e0-93d9-00144feabdc0.html#axzz1YvoAgdtQ</w:t>
      </w:r>
      <w:r>
        <w:t>.</w:t>
      </w:r>
    </w:p>
  </w:footnote>
  <w:footnote w:id="60">
    <w:p w:rsidR="00D50504" w:rsidRPr="009D785B" w:rsidRDefault="00D50504" w:rsidP="0076240D">
      <w:pPr>
        <w:pStyle w:val="FootnoteText"/>
      </w:pPr>
      <w:r>
        <w:rPr>
          <w:rStyle w:val="FootnoteReference"/>
        </w:rPr>
        <w:footnoteRef/>
      </w:r>
      <w:r>
        <w:t xml:space="preserve"> </w:t>
      </w:r>
      <w:proofErr w:type="gramStart"/>
      <w:r w:rsidRPr="007A183B">
        <w:rPr>
          <w:i/>
        </w:rPr>
        <w:t>Integration of Renewables</w:t>
      </w:r>
      <w:r>
        <w:t>, 12.</w:t>
      </w:r>
      <w:proofErr w:type="gramEnd"/>
    </w:p>
  </w:footnote>
  <w:footnote w:id="61">
    <w:p w:rsidR="00D50504" w:rsidRDefault="00D50504" w:rsidP="0076240D">
      <w:pPr>
        <w:pStyle w:val="FootnoteText"/>
      </w:pPr>
      <w:r>
        <w:rPr>
          <w:rStyle w:val="FootnoteReference"/>
        </w:rPr>
        <w:footnoteRef/>
      </w:r>
      <w:r>
        <w:t xml:space="preserve"> </w:t>
      </w:r>
      <w:r>
        <w:rPr>
          <w:i/>
        </w:rPr>
        <w:t>Id.</w:t>
      </w:r>
    </w:p>
  </w:footnote>
  <w:footnote w:id="62">
    <w:p w:rsidR="00D50504" w:rsidRDefault="00D50504" w:rsidP="0076240D">
      <w:pPr>
        <w:pStyle w:val="FootnoteText"/>
      </w:pPr>
      <w:r>
        <w:rPr>
          <w:rStyle w:val="FootnoteReference"/>
        </w:rPr>
        <w:footnoteRef/>
      </w:r>
      <w:r>
        <w:t xml:space="preserve"> </w:t>
      </w:r>
      <w:r>
        <w:rPr>
          <w:i/>
        </w:rPr>
        <w:t>Id</w:t>
      </w:r>
      <w:r>
        <w:t>.</w:t>
      </w:r>
    </w:p>
  </w:footnote>
  <w:footnote w:id="63">
    <w:p w:rsidR="00D50504" w:rsidRDefault="00D50504" w:rsidP="0076240D">
      <w:pPr>
        <w:pStyle w:val="FootnoteText"/>
      </w:pPr>
      <w:r>
        <w:rPr>
          <w:rStyle w:val="FootnoteReference"/>
        </w:rPr>
        <w:footnoteRef/>
      </w:r>
      <w:r>
        <w:t xml:space="preserve"> </w:t>
      </w:r>
      <w:r>
        <w:rPr>
          <w:i/>
        </w:rPr>
        <w:t>Id.</w:t>
      </w:r>
    </w:p>
  </w:footnote>
  <w:footnote w:id="64">
    <w:p w:rsidR="00D50504" w:rsidRDefault="00D50504" w:rsidP="0076240D">
      <w:pPr>
        <w:pStyle w:val="FootnoteText"/>
      </w:pPr>
      <w:r>
        <w:rPr>
          <w:rStyle w:val="FootnoteReference"/>
        </w:rPr>
        <w:footnoteRef/>
      </w:r>
      <w:r>
        <w:t xml:space="preserve"> </w:t>
      </w:r>
      <w:r>
        <w:rPr>
          <w:i/>
        </w:rPr>
        <w:t>Id.</w:t>
      </w:r>
    </w:p>
  </w:footnote>
  <w:footnote w:id="65">
    <w:p w:rsidR="00D50504" w:rsidRDefault="00D50504" w:rsidP="0076240D">
      <w:pPr>
        <w:pStyle w:val="FootnoteText"/>
      </w:pPr>
      <w:r>
        <w:rPr>
          <w:rStyle w:val="FootnoteReference"/>
        </w:rPr>
        <w:footnoteRef/>
      </w:r>
      <w:r>
        <w:t xml:space="preserve"> </w:t>
      </w:r>
      <w:proofErr w:type="spellStart"/>
      <w:proofErr w:type="gramStart"/>
      <w:r>
        <w:t>Kahrl</w:t>
      </w:r>
      <w:proofErr w:type="spellEnd"/>
      <w:r>
        <w:t>, 4039.</w:t>
      </w:r>
      <w:proofErr w:type="gramEnd"/>
    </w:p>
  </w:footnote>
  <w:footnote w:id="66">
    <w:p w:rsidR="00D50504" w:rsidRPr="00AD40ED" w:rsidRDefault="00D50504" w:rsidP="0076240D">
      <w:pPr>
        <w:pStyle w:val="FootnoteText"/>
      </w:pPr>
      <w:r>
        <w:rPr>
          <w:rStyle w:val="FootnoteReference"/>
        </w:rPr>
        <w:footnoteRef/>
      </w:r>
      <w:r>
        <w:t xml:space="preserve"> </w:t>
      </w:r>
      <w:r>
        <w:rPr>
          <w:i/>
        </w:rPr>
        <w:t>See</w:t>
      </w:r>
      <w:r>
        <w:t xml:space="preserve"> </w:t>
      </w:r>
      <w:proofErr w:type="spellStart"/>
      <w:r>
        <w:t>Kahrl</w:t>
      </w:r>
      <w:proofErr w:type="spellEnd"/>
      <w:r>
        <w:t xml:space="preserve">, 4039.  </w:t>
      </w:r>
    </w:p>
  </w:footnote>
  <w:footnote w:id="67">
    <w:p w:rsidR="00D50504" w:rsidRPr="001854D6" w:rsidRDefault="00D50504">
      <w:pPr>
        <w:pStyle w:val="FootnoteText"/>
      </w:pPr>
      <w:r>
        <w:rPr>
          <w:rStyle w:val="FootnoteReference"/>
        </w:rPr>
        <w:footnoteRef/>
      </w:r>
      <w:r>
        <w:t xml:space="preserve"> </w:t>
      </w:r>
      <w:r w:rsidRPr="00E938F9">
        <w:rPr>
          <w:smallCaps/>
        </w:rPr>
        <w:t xml:space="preserve">Clarisse </w:t>
      </w:r>
      <w:proofErr w:type="spellStart"/>
      <w:r w:rsidRPr="00E938F9">
        <w:rPr>
          <w:smallCaps/>
        </w:rPr>
        <w:t>Fräss-Ehrfeld</w:t>
      </w:r>
      <w:proofErr w:type="spellEnd"/>
      <w:r w:rsidRPr="00E938F9">
        <w:rPr>
          <w:smallCaps/>
        </w:rPr>
        <w:t>, Renewable Energy Sources</w:t>
      </w:r>
      <w:r>
        <w:t xml:space="preserve"> 11 (2009).</w:t>
      </w:r>
    </w:p>
  </w:footnote>
  <w:footnote w:id="68">
    <w:p w:rsidR="00D50504" w:rsidRDefault="00D50504">
      <w:pPr>
        <w:pStyle w:val="FootnoteText"/>
      </w:pPr>
      <w:r>
        <w:rPr>
          <w:rStyle w:val="FootnoteReference"/>
        </w:rPr>
        <w:footnoteRef/>
      </w:r>
      <w:r>
        <w:t xml:space="preserve"> Id.  </w:t>
      </w:r>
    </w:p>
  </w:footnote>
  <w:footnote w:id="69">
    <w:p w:rsidR="00D50504" w:rsidRDefault="00D50504">
      <w:pPr>
        <w:pStyle w:val="FootnoteText"/>
      </w:pPr>
      <w:r>
        <w:rPr>
          <w:rStyle w:val="FootnoteReference"/>
        </w:rPr>
        <w:footnoteRef/>
      </w:r>
      <w:r>
        <w:t xml:space="preserve"> </w:t>
      </w:r>
      <w:r w:rsidRPr="006D6150">
        <w:rPr>
          <w:i/>
        </w:rPr>
        <w:t>Id</w:t>
      </w:r>
      <w:r>
        <w:t>.</w:t>
      </w:r>
    </w:p>
  </w:footnote>
  <w:footnote w:id="70">
    <w:p w:rsidR="00D50504" w:rsidRPr="005F52A3" w:rsidRDefault="00D50504">
      <w:pPr>
        <w:pStyle w:val="FootnoteText"/>
      </w:pPr>
      <w:r>
        <w:rPr>
          <w:rStyle w:val="FootnoteReference"/>
        </w:rPr>
        <w:footnoteRef/>
      </w:r>
      <w:r>
        <w:t xml:space="preserve"> David Fogarty, </w:t>
      </w:r>
      <w:r w:rsidRPr="006D6150">
        <w:rPr>
          <w:i/>
        </w:rPr>
        <w:t>China Renewables to power ahead without CDM: report</w:t>
      </w:r>
      <w:r>
        <w:t xml:space="preserve">. </w:t>
      </w:r>
      <w:r w:rsidRPr="006D6150">
        <w:rPr>
          <w:smallCaps/>
        </w:rPr>
        <w:t>Reuters</w:t>
      </w:r>
      <w:r>
        <w:t xml:space="preserve"> (Aug. 20, 2010), </w:t>
      </w:r>
      <w:r w:rsidRPr="006D6150">
        <w:t>http://www.reuters.com/article/2010/08/20/us-china-carbon-idUSTRE67J14620100820</w:t>
      </w:r>
      <w:r>
        <w:t xml:space="preserve">. </w:t>
      </w:r>
    </w:p>
  </w:footnote>
  <w:footnote w:id="71">
    <w:p w:rsidR="00D50504" w:rsidRDefault="00D50504">
      <w:pPr>
        <w:pStyle w:val="FootnoteText"/>
      </w:pPr>
      <w:r>
        <w:rPr>
          <w:rStyle w:val="FootnoteReference"/>
        </w:rPr>
        <w:footnoteRef/>
      </w:r>
      <w:r>
        <w:t xml:space="preserve"> Interview, with Zhang </w:t>
      </w:r>
      <w:proofErr w:type="spellStart"/>
      <w:r>
        <w:t>DongHui</w:t>
      </w:r>
      <w:proofErr w:type="spellEnd"/>
      <w:r>
        <w:t>, Secretary of Board of Directors, China Energy Conservation and Environmental Protection Group (CECEP) Wind-Power Corporation, In Beijing, China (Dec. 28, 2011).</w:t>
      </w:r>
    </w:p>
  </w:footnote>
  <w:footnote w:id="72">
    <w:p w:rsidR="00D50504" w:rsidRDefault="00D50504">
      <w:pPr>
        <w:pStyle w:val="FootnoteText"/>
      </w:pPr>
      <w:r>
        <w:rPr>
          <w:rStyle w:val="FootnoteReference"/>
        </w:rPr>
        <w:footnoteRef/>
      </w:r>
      <w:r>
        <w:t xml:space="preserve"> News, </w:t>
      </w:r>
      <w:r w:rsidRPr="00C77C1A">
        <w:rPr>
          <w:i/>
        </w:rPr>
        <w:t>UN stops approving China Wind Projects, Official Says</w:t>
      </w:r>
      <w:r>
        <w:t xml:space="preserve">,” </w:t>
      </w:r>
      <w:r w:rsidRPr="00C77C1A">
        <w:rPr>
          <w:smallCaps/>
        </w:rPr>
        <w:t>Bloomberg</w:t>
      </w:r>
      <w:r>
        <w:t xml:space="preserve"> (Dec. 2, 2009), </w:t>
      </w:r>
      <w:r w:rsidRPr="00C77C1A">
        <w:t>http://www.bloomberg.com/apps/news?pid=newsarchive&amp;sid=aU4wzufvXMpY</w:t>
      </w:r>
      <w:r>
        <w:t xml:space="preserve">.  </w:t>
      </w:r>
    </w:p>
  </w:footnote>
  <w:footnote w:id="73">
    <w:p w:rsidR="00D50504" w:rsidRDefault="00D50504">
      <w:pPr>
        <w:pStyle w:val="FootnoteText"/>
      </w:pPr>
      <w:r>
        <w:rPr>
          <w:rStyle w:val="FootnoteReference"/>
        </w:rPr>
        <w:footnoteRef/>
      </w:r>
      <w:r>
        <w:t xml:space="preserve"> </w:t>
      </w:r>
      <w:r>
        <w:rPr>
          <w:i/>
        </w:rPr>
        <w:t>Id</w:t>
      </w:r>
      <w:r>
        <w:t xml:space="preserve">.  </w:t>
      </w:r>
    </w:p>
  </w:footnote>
  <w:footnote w:id="74">
    <w:p w:rsidR="00D50504" w:rsidRDefault="00D50504">
      <w:pPr>
        <w:pStyle w:val="FootnoteText"/>
      </w:pPr>
      <w:r>
        <w:rPr>
          <w:rStyle w:val="FootnoteReference"/>
        </w:rPr>
        <w:footnoteRef/>
      </w:r>
      <w:r>
        <w:t xml:space="preserve"> </w:t>
      </w:r>
      <w:r w:rsidRPr="006548F7">
        <w:rPr>
          <w:i/>
        </w:rPr>
        <w:t>Id</w:t>
      </w:r>
      <w:r>
        <w:t>.</w:t>
      </w:r>
    </w:p>
  </w:footnote>
  <w:footnote w:id="75">
    <w:p w:rsidR="00D50504" w:rsidRPr="008D7A1C" w:rsidRDefault="00D50504">
      <w:pPr>
        <w:pStyle w:val="FootnoteText"/>
      </w:pPr>
      <w:r>
        <w:rPr>
          <w:rStyle w:val="FootnoteReference"/>
        </w:rPr>
        <w:footnoteRef/>
      </w:r>
      <w:r>
        <w:t xml:space="preserve"> </w:t>
      </w:r>
      <w:r w:rsidRPr="00D53E8C">
        <w:rPr>
          <w:i/>
        </w:rPr>
        <w:t>China CDM</w:t>
      </w:r>
      <w:r>
        <w:t xml:space="preserve">, </w:t>
      </w:r>
      <w:r>
        <w:rPr>
          <w:i/>
        </w:rPr>
        <w:t>Project Information</w:t>
      </w:r>
      <w:r>
        <w:t xml:space="preserve">, NDRC, </w:t>
      </w:r>
      <w:r w:rsidRPr="00FE6054">
        <w:t>http://cdm.ccchina.gov.cn/english/main.asp?ColumnId=28</w:t>
      </w:r>
    </w:p>
  </w:footnote>
  <w:footnote w:id="76">
    <w:p w:rsidR="00D50504" w:rsidRDefault="00D50504">
      <w:pPr>
        <w:pStyle w:val="FootnoteText"/>
      </w:pPr>
      <w:r>
        <w:rPr>
          <w:rStyle w:val="FootnoteReference"/>
        </w:rPr>
        <w:footnoteRef/>
      </w:r>
      <w:r>
        <w:t xml:space="preserve"> </w:t>
      </w:r>
      <w:r w:rsidRPr="00C95497">
        <w:rPr>
          <w:i/>
        </w:rPr>
        <w:t>Id</w:t>
      </w:r>
      <w:r>
        <w:t xml:space="preserve">.  </w:t>
      </w:r>
    </w:p>
  </w:footnote>
  <w:footnote w:id="77">
    <w:p w:rsidR="00D50504" w:rsidRDefault="00D50504">
      <w:pPr>
        <w:pStyle w:val="FootnoteText"/>
      </w:pPr>
      <w:r>
        <w:rPr>
          <w:rStyle w:val="FootnoteReference"/>
        </w:rPr>
        <w:footnoteRef/>
      </w:r>
      <w:r>
        <w:t xml:space="preserve"> </w:t>
      </w:r>
      <w:proofErr w:type="gramStart"/>
      <w:r>
        <w:t xml:space="preserve">Interview with Zhang </w:t>
      </w:r>
      <w:proofErr w:type="spellStart"/>
      <w:r>
        <w:t>DongHui</w:t>
      </w:r>
      <w:proofErr w:type="spellEnd"/>
      <w:r>
        <w:t>, CECEP.</w:t>
      </w:r>
      <w:proofErr w:type="gramEnd"/>
    </w:p>
  </w:footnote>
  <w:footnote w:id="78">
    <w:p w:rsidR="00D50504" w:rsidRPr="00F434B2" w:rsidRDefault="00D50504" w:rsidP="003F13EB">
      <w:pPr>
        <w:pStyle w:val="FootnoteText"/>
      </w:pPr>
      <w:r>
        <w:rPr>
          <w:rStyle w:val="FootnoteReference"/>
        </w:rPr>
        <w:footnoteRef/>
      </w:r>
      <w:r>
        <w:t xml:space="preserve"> Calvin Lee Kwan, </w:t>
      </w:r>
      <w:r w:rsidRPr="005D1EB3">
        <w:rPr>
          <w:i/>
        </w:rPr>
        <w:t>The Inner Mongolia Autonomous Region: A major role in China’s renewable energy future</w:t>
      </w:r>
      <w:r>
        <w:t xml:space="preserve">, 18 </w:t>
      </w:r>
      <w:r w:rsidRPr="005D1EB3">
        <w:rPr>
          <w:smallCaps/>
        </w:rPr>
        <w:t>Utilities Policy</w:t>
      </w:r>
      <w:r>
        <w:t xml:space="preserve"> 46-52 (2010).  </w:t>
      </w:r>
    </w:p>
  </w:footnote>
  <w:footnote w:id="79">
    <w:p w:rsidR="00D50504" w:rsidRDefault="00D50504" w:rsidP="003F13EB">
      <w:pPr>
        <w:pStyle w:val="FootnoteText"/>
      </w:pPr>
      <w:r>
        <w:rPr>
          <w:rStyle w:val="FootnoteReference"/>
        </w:rPr>
        <w:footnoteRef/>
      </w:r>
      <w:r>
        <w:t xml:space="preserve"> </w:t>
      </w:r>
      <w:proofErr w:type="gramStart"/>
      <w:r>
        <w:t>Kwan, 49.</w:t>
      </w:r>
      <w:proofErr w:type="gramEnd"/>
    </w:p>
  </w:footnote>
  <w:footnote w:id="80">
    <w:p w:rsidR="00D50504" w:rsidRPr="00FB7CE5" w:rsidRDefault="00D50504" w:rsidP="003F13EB">
      <w:pPr>
        <w:pStyle w:val="FootnoteText"/>
      </w:pPr>
      <w:r>
        <w:rPr>
          <w:rStyle w:val="FootnoteReference"/>
        </w:rPr>
        <w:footnoteRef/>
      </w:r>
      <w:r>
        <w:t xml:space="preserve"> </w:t>
      </w:r>
      <w:r w:rsidRPr="00293347">
        <w:rPr>
          <w:i/>
        </w:rPr>
        <w:t>Inner Mongolia’s installed wind power ranks first in China</w:t>
      </w:r>
      <w:r>
        <w:t xml:space="preserve">, </w:t>
      </w:r>
      <w:r w:rsidRPr="00293347">
        <w:rPr>
          <w:smallCaps/>
        </w:rPr>
        <w:t>People’s Daily</w:t>
      </w:r>
      <w:r>
        <w:rPr>
          <w:i/>
        </w:rPr>
        <w:t xml:space="preserve"> </w:t>
      </w:r>
      <w:r>
        <w:t xml:space="preserve">(April 2, 2011), </w:t>
      </w:r>
      <w:r w:rsidRPr="00293347">
        <w:t>http://english.peopledaily.com.cn/90001/98649/7339021.html</w:t>
      </w:r>
      <w:r>
        <w:t>.</w:t>
      </w:r>
    </w:p>
  </w:footnote>
  <w:footnote w:id="81">
    <w:p w:rsidR="00D50504" w:rsidRPr="007E6541" w:rsidRDefault="00D50504" w:rsidP="003F13EB">
      <w:pPr>
        <w:pStyle w:val="FootnoteText"/>
      </w:pPr>
      <w:r>
        <w:rPr>
          <w:rStyle w:val="FootnoteReference"/>
        </w:rPr>
        <w:footnoteRef/>
      </w:r>
      <w:r>
        <w:t xml:space="preserve">  </w:t>
      </w:r>
      <w:proofErr w:type="gramStart"/>
      <w:r>
        <w:rPr>
          <w:i/>
        </w:rPr>
        <w:t>Integration</w:t>
      </w:r>
      <w:r>
        <w:t xml:space="preserve"> </w:t>
      </w:r>
      <w:r>
        <w:rPr>
          <w:i/>
        </w:rPr>
        <w:t xml:space="preserve">of Renewables, </w:t>
      </w:r>
      <w:r>
        <w:t>9.</w:t>
      </w:r>
      <w:proofErr w:type="gramEnd"/>
      <w:r>
        <w:t xml:space="preserve">  </w:t>
      </w:r>
    </w:p>
  </w:footnote>
  <w:footnote w:id="82">
    <w:p w:rsidR="00D50504" w:rsidRPr="00D8115E" w:rsidRDefault="00D50504" w:rsidP="003F13EB">
      <w:pPr>
        <w:pStyle w:val="FootnoteText"/>
      </w:pPr>
      <w:r>
        <w:rPr>
          <w:rStyle w:val="FootnoteReference"/>
        </w:rPr>
        <w:footnoteRef/>
      </w:r>
      <w:r>
        <w:t xml:space="preserve">  </w:t>
      </w:r>
      <w:r>
        <w:rPr>
          <w:i/>
        </w:rPr>
        <w:t>Id.</w:t>
      </w:r>
    </w:p>
  </w:footnote>
  <w:footnote w:id="83">
    <w:p w:rsidR="00D50504" w:rsidRPr="009E518D" w:rsidRDefault="00D50504" w:rsidP="003F13EB">
      <w:pPr>
        <w:pStyle w:val="FootnoteText"/>
      </w:pPr>
      <w:r>
        <w:rPr>
          <w:rStyle w:val="FootnoteReference"/>
        </w:rPr>
        <w:footnoteRef/>
      </w:r>
      <w:r>
        <w:t xml:space="preserve"> </w:t>
      </w:r>
      <w:proofErr w:type="gramStart"/>
      <w:r>
        <w:rPr>
          <w:i/>
        </w:rPr>
        <w:t>Integration of Renewables</w:t>
      </w:r>
      <w:r>
        <w:t>, 9.</w:t>
      </w:r>
      <w:proofErr w:type="gramEnd"/>
    </w:p>
  </w:footnote>
  <w:footnote w:id="84">
    <w:p w:rsidR="00D50504" w:rsidRPr="003C3171" w:rsidRDefault="00D50504" w:rsidP="003F13EB">
      <w:pPr>
        <w:pStyle w:val="FootnoteText"/>
        <w:rPr>
          <w:i/>
        </w:rPr>
      </w:pPr>
      <w:r>
        <w:rPr>
          <w:rStyle w:val="FootnoteReference"/>
        </w:rPr>
        <w:footnoteRef/>
      </w:r>
      <w:r>
        <w:t xml:space="preserve"> </w:t>
      </w:r>
      <w:r>
        <w:rPr>
          <w:i/>
        </w:rPr>
        <w:t xml:space="preserve">Id.  </w:t>
      </w:r>
    </w:p>
  </w:footnote>
  <w:footnote w:id="85">
    <w:p w:rsidR="00D50504" w:rsidRPr="000800B0" w:rsidRDefault="00D50504" w:rsidP="003F13EB">
      <w:pPr>
        <w:pStyle w:val="FootnoteText"/>
      </w:pPr>
      <w:r>
        <w:rPr>
          <w:rStyle w:val="FootnoteReference"/>
        </w:rPr>
        <w:footnoteRef/>
      </w:r>
      <w:r>
        <w:t xml:space="preserve"> </w:t>
      </w:r>
      <w:proofErr w:type="gramStart"/>
      <w:r>
        <w:t xml:space="preserve">Li </w:t>
      </w:r>
      <w:proofErr w:type="spellStart"/>
      <w:r>
        <w:t>Yuanyuan</w:t>
      </w:r>
      <w:proofErr w:type="spellEnd"/>
      <w:r>
        <w:t xml:space="preserve">, </w:t>
      </w:r>
      <w:r w:rsidRPr="002916B9">
        <w:rPr>
          <w:i/>
        </w:rPr>
        <w:t>Increased Entry Barriers Force Wind Power Consolidation in Inner Mongolia</w:t>
      </w:r>
      <w:r>
        <w:t xml:space="preserve">,” </w:t>
      </w:r>
      <w:r w:rsidRPr="002916B9">
        <w:rPr>
          <w:smallCaps/>
        </w:rPr>
        <w:t>Renewable Energy World.Com</w:t>
      </w:r>
      <w:r>
        <w:t xml:space="preserve"> (6-8-2011), </w:t>
      </w:r>
      <w:r w:rsidRPr="00BA0C6A">
        <w:t>http://www.renewableenergyworld.com/rea/news/article/2011/06/increased-entry-barriers-force-wind-power-consolidation-in-inner-mongolia</w:t>
      </w:r>
      <w:r>
        <w:t>.</w:t>
      </w:r>
      <w:proofErr w:type="gramEnd"/>
    </w:p>
  </w:footnote>
  <w:footnote w:id="86">
    <w:p w:rsidR="00D50504" w:rsidRDefault="00D50504" w:rsidP="003F13EB">
      <w:pPr>
        <w:pStyle w:val="FootnoteText"/>
      </w:pPr>
      <w:r>
        <w:rPr>
          <w:rStyle w:val="FootnoteReference"/>
        </w:rPr>
        <w:footnoteRef/>
      </w:r>
      <w:r>
        <w:t xml:space="preserve"> </w:t>
      </w:r>
      <w:r>
        <w:rPr>
          <w:i/>
        </w:rPr>
        <w:t>Id.</w:t>
      </w:r>
    </w:p>
  </w:footnote>
  <w:footnote w:id="87">
    <w:p w:rsidR="00D50504" w:rsidRPr="002916B9" w:rsidRDefault="00D50504" w:rsidP="003F13EB">
      <w:pPr>
        <w:pStyle w:val="FootnoteText"/>
      </w:pPr>
      <w:r>
        <w:rPr>
          <w:rStyle w:val="FootnoteReference"/>
        </w:rPr>
        <w:footnoteRef/>
      </w:r>
      <w:r>
        <w:t xml:space="preserve"> </w:t>
      </w:r>
      <w:r>
        <w:rPr>
          <w:i/>
        </w:rPr>
        <w:t>Id.</w:t>
      </w:r>
    </w:p>
  </w:footnote>
  <w:footnote w:id="88">
    <w:p w:rsidR="00D50504" w:rsidRPr="006D366D" w:rsidRDefault="00D50504" w:rsidP="003F13EB">
      <w:pPr>
        <w:pStyle w:val="FootnoteText"/>
      </w:pPr>
      <w:r>
        <w:rPr>
          <w:rStyle w:val="FootnoteReference"/>
        </w:rPr>
        <w:footnoteRef/>
      </w:r>
      <w:r>
        <w:t xml:space="preserve"> Keith Schneider, </w:t>
      </w:r>
      <w:r w:rsidRPr="00126BB5">
        <w:rPr>
          <w:i/>
        </w:rPr>
        <w:t>New Wind and Solar Sectors Won’t Solve China’s Water Scarcity</w:t>
      </w:r>
      <w:r>
        <w:t xml:space="preserve">,” </w:t>
      </w:r>
      <w:r w:rsidRPr="00126BB5">
        <w:rPr>
          <w:smallCaps/>
        </w:rPr>
        <w:t>Circle of Blue</w:t>
      </w:r>
      <w:r>
        <w:rPr>
          <w:i/>
        </w:rPr>
        <w:t xml:space="preserve"> </w:t>
      </w:r>
      <w:r>
        <w:t xml:space="preserve">(Feb. 22, 2011), </w:t>
      </w:r>
      <w:r w:rsidRPr="00BC1956">
        <w:t>http://www.circleofblue.org/waternews/2011/world/new-wind-and-solar-sectors-wont-solve-chinas-water-scarcity/</w:t>
      </w:r>
    </w:p>
  </w:footnote>
  <w:footnote w:id="89">
    <w:p w:rsidR="00D50504" w:rsidRDefault="00D50504" w:rsidP="003F13EB">
      <w:pPr>
        <w:pStyle w:val="FootnoteText"/>
      </w:pPr>
      <w:r>
        <w:rPr>
          <w:rStyle w:val="FootnoteReference"/>
        </w:rPr>
        <w:footnoteRef/>
      </w:r>
      <w:r>
        <w:t xml:space="preserve"> </w:t>
      </w:r>
      <w:r w:rsidRPr="0040532A">
        <w:rPr>
          <w:i/>
        </w:rPr>
        <w:t>China starts building first 10-GW mega wind farm</w:t>
      </w:r>
      <w:r>
        <w:t xml:space="preserve">, </w:t>
      </w:r>
      <w:r w:rsidRPr="0040532A">
        <w:rPr>
          <w:smallCaps/>
        </w:rPr>
        <w:t>Reuters</w:t>
      </w:r>
      <w:r>
        <w:t xml:space="preserve"> (Aug. 8, 2009), </w:t>
      </w:r>
      <w:r w:rsidRPr="0040532A">
        <w:t>http://www.reuters.com/article/2009/08/08/us-china-wind-power-idUSTRE5771IP20090808</w:t>
      </w:r>
    </w:p>
  </w:footnote>
  <w:footnote w:id="90">
    <w:p w:rsidR="00D50504" w:rsidRDefault="00D50504" w:rsidP="003F13EB">
      <w:pPr>
        <w:pStyle w:val="FootnoteText"/>
      </w:pPr>
      <w:r>
        <w:rPr>
          <w:rStyle w:val="FootnoteReference"/>
        </w:rPr>
        <w:footnoteRef/>
      </w:r>
      <w:r>
        <w:t xml:space="preserve"> Lin </w:t>
      </w:r>
      <w:proofErr w:type="spellStart"/>
      <w:r>
        <w:t>Liyu</w:t>
      </w:r>
      <w:proofErr w:type="spellEnd"/>
      <w:r>
        <w:t xml:space="preserve">, </w:t>
      </w:r>
      <w:r w:rsidRPr="0040532A">
        <w:rPr>
          <w:i/>
        </w:rPr>
        <w:t>China to start building first 10 million-kw-level wind power station in mid-</w:t>
      </w:r>
      <w:proofErr w:type="spellStart"/>
      <w:r w:rsidRPr="0040532A">
        <w:rPr>
          <w:i/>
        </w:rPr>
        <w:t>july</w:t>
      </w:r>
      <w:proofErr w:type="spellEnd"/>
      <w:r>
        <w:t xml:space="preserve">, </w:t>
      </w:r>
      <w:r w:rsidRPr="0040532A">
        <w:rPr>
          <w:smallCaps/>
        </w:rPr>
        <w:t>Xinhua</w:t>
      </w:r>
      <w:r>
        <w:t xml:space="preserve">, (July 5, 2009).  </w:t>
      </w:r>
      <w:r w:rsidRPr="008B05FA">
        <w:t>http://news.xinhuanet.com/english/2009-07/05/content_11657423.htm</w:t>
      </w:r>
    </w:p>
  </w:footnote>
  <w:footnote w:id="91">
    <w:p w:rsidR="00D50504" w:rsidRDefault="00D50504" w:rsidP="003F13EB">
      <w:pPr>
        <w:pStyle w:val="FootnoteText"/>
      </w:pPr>
      <w:r>
        <w:rPr>
          <w:rStyle w:val="FootnoteReference"/>
        </w:rPr>
        <w:footnoteRef/>
      </w:r>
      <w:r>
        <w:t xml:space="preserve"> Lu Yu, </w:t>
      </w:r>
      <w:r>
        <w:rPr>
          <w:i/>
        </w:rPr>
        <w:t>China’s Wind Power Investment Model is Inefficient,</w:t>
      </w:r>
      <w:r>
        <w:t xml:space="preserve"> </w:t>
      </w:r>
      <w:r w:rsidRPr="002C392F">
        <w:rPr>
          <w:smallCaps/>
        </w:rPr>
        <w:t>China Energy News</w:t>
      </w:r>
      <w:r>
        <w:t xml:space="preserve">, </w:t>
      </w:r>
      <w:proofErr w:type="gramStart"/>
      <w:r>
        <w:t>(</w:t>
      </w:r>
      <w:proofErr w:type="gramEnd"/>
      <w:r>
        <w:t xml:space="preserve">Dec. 26, 2011).  </w:t>
      </w:r>
    </w:p>
  </w:footnote>
  <w:footnote w:id="92">
    <w:p w:rsidR="00D50504" w:rsidRDefault="00D50504" w:rsidP="003F13EB">
      <w:pPr>
        <w:pStyle w:val="FootnoteText"/>
      </w:pPr>
      <w:r>
        <w:rPr>
          <w:rStyle w:val="FootnoteReference"/>
        </w:rPr>
        <w:footnoteRef/>
      </w:r>
      <w:r>
        <w:t xml:space="preserve"> </w:t>
      </w:r>
      <w:r w:rsidRPr="00474FD6">
        <w:rPr>
          <w:i/>
        </w:rPr>
        <w:t>China starts building first 10-GW mega wind farm</w:t>
      </w:r>
      <w:r>
        <w:t xml:space="preserve">, </w:t>
      </w:r>
      <w:r w:rsidRPr="00474FD6">
        <w:rPr>
          <w:smallCaps/>
        </w:rPr>
        <w:t>Reuters</w:t>
      </w:r>
      <w:r>
        <w:t xml:space="preserve"> (Aug. 8, 2009).</w:t>
      </w:r>
    </w:p>
  </w:footnote>
  <w:footnote w:id="93">
    <w:p w:rsidR="00D50504" w:rsidRPr="00911F47" w:rsidRDefault="00D50504">
      <w:pPr>
        <w:pStyle w:val="FootnoteText"/>
      </w:pPr>
      <w:r>
        <w:rPr>
          <w:rStyle w:val="FootnoteReference"/>
        </w:rPr>
        <w:footnoteRef/>
      </w:r>
      <w:r>
        <w:t xml:space="preserve"> </w:t>
      </w:r>
      <w:proofErr w:type="gramStart"/>
      <w:r w:rsidRPr="00210ED1">
        <w:rPr>
          <w:i/>
        </w:rPr>
        <w:t>China to Apply New Energy Quota</w:t>
      </w:r>
      <w:r>
        <w:t xml:space="preserve">, </w:t>
      </w:r>
      <w:r w:rsidRPr="00210ED1">
        <w:rPr>
          <w:smallCaps/>
        </w:rPr>
        <w:t>China Daily</w:t>
      </w:r>
      <w:r>
        <w:t xml:space="preserve"> (Feb. 28, 2012), </w:t>
      </w:r>
      <w:r w:rsidRPr="004E2AAF">
        <w:t>http://www.chinadaily.com.cn/bizchina/2012-02/28/content_14715039.htm</w:t>
      </w:r>
      <w:r>
        <w:t>.</w:t>
      </w:r>
      <w:proofErr w:type="gramEnd"/>
    </w:p>
  </w:footnote>
  <w:footnote w:id="94">
    <w:p w:rsidR="00D50504" w:rsidRPr="00863EB7" w:rsidRDefault="00D50504">
      <w:pPr>
        <w:pStyle w:val="FootnoteText"/>
      </w:pPr>
      <w:r>
        <w:rPr>
          <w:rStyle w:val="FootnoteReference"/>
        </w:rPr>
        <w:footnoteRef/>
      </w:r>
      <w:r>
        <w:t xml:space="preserve"> </w:t>
      </w:r>
      <w:proofErr w:type="gramStart"/>
      <w:r>
        <w:rPr>
          <w:rFonts w:ascii="Times New Roman" w:hAnsi="Times New Roman"/>
        </w:rPr>
        <w:t xml:space="preserve">Wang </w:t>
      </w:r>
      <w:proofErr w:type="spellStart"/>
      <w:r>
        <w:rPr>
          <w:rFonts w:ascii="Times New Roman" w:hAnsi="Times New Roman"/>
        </w:rPr>
        <w:t>Xiuqiang</w:t>
      </w:r>
      <w:proofErr w:type="spellEnd"/>
      <w:r>
        <w:rPr>
          <w:rFonts w:ascii="Times New Roman" w:hAnsi="Times New Roman"/>
        </w:rPr>
        <w:t xml:space="preserve">, </w:t>
      </w:r>
      <w:r w:rsidRPr="00466696">
        <w:rPr>
          <w:rFonts w:ascii="Times New Roman" w:hAnsi="Times New Roman"/>
          <w:i/>
        </w:rPr>
        <w:t>A Planned Quota System to be Applied in Renewable Energy Development</w:t>
      </w:r>
      <w:r>
        <w:rPr>
          <w:rFonts w:ascii="Times New Roman" w:hAnsi="Times New Roman"/>
        </w:rPr>
        <w:t xml:space="preserve">, </w:t>
      </w:r>
      <w:r w:rsidRPr="00466696">
        <w:rPr>
          <w:rFonts w:ascii="Times New Roman" w:hAnsi="Times New Roman"/>
          <w:smallCaps/>
        </w:rPr>
        <w:t>China Energy News</w:t>
      </w:r>
      <w:r>
        <w:rPr>
          <w:rFonts w:ascii="Times New Roman" w:hAnsi="Times New Roman"/>
        </w:rPr>
        <w:t xml:space="preserve"> (Feb. 20, 2012).</w:t>
      </w:r>
      <w:proofErr w:type="gramEnd"/>
    </w:p>
  </w:footnote>
  <w:footnote w:id="95">
    <w:p w:rsidR="00D50504" w:rsidRPr="00CF3739" w:rsidRDefault="00D50504">
      <w:pPr>
        <w:pStyle w:val="FootnoteText"/>
      </w:pPr>
      <w:r>
        <w:rPr>
          <w:rStyle w:val="FootnoteReference"/>
        </w:rPr>
        <w:footnoteRef/>
      </w:r>
      <w:r>
        <w:t xml:space="preserve"> Han </w:t>
      </w:r>
      <w:proofErr w:type="spellStart"/>
      <w:r>
        <w:t>JunLiang</w:t>
      </w:r>
      <w:proofErr w:type="spellEnd"/>
      <w:r>
        <w:t xml:space="preserve">, </w:t>
      </w:r>
      <w:r w:rsidRPr="00F3532C">
        <w:rPr>
          <w:i/>
        </w:rPr>
        <w:t>China’s wind electricity industry has come to a re-adjustment period</w:t>
      </w:r>
      <w:r>
        <w:t xml:space="preserve">, </w:t>
      </w:r>
      <w:r w:rsidRPr="00F3532C">
        <w:rPr>
          <w:smallCaps/>
        </w:rPr>
        <w:t>China Energy News</w:t>
      </w:r>
      <w:r>
        <w:t xml:space="preserve">, (Oct. 31, 2011).  </w:t>
      </w:r>
    </w:p>
  </w:footnote>
  <w:footnote w:id="96">
    <w:p w:rsidR="00D50504" w:rsidRDefault="00D50504">
      <w:pPr>
        <w:pStyle w:val="FootnoteText"/>
      </w:pPr>
      <w:r>
        <w:rPr>
          <w:rStyle w:val="FootnoteReference"/>
        </w:rPr>
        <w:footnoteRef/>
      </w:r>
      <w:r>
        <w:t xml:space="preserve"> </w:t>
      </w:r>
      <w:r w:rsidRPr="008E4D1C">
        <w:rPr>
          <w:i/>
        </w:rPr>
        <w:t>Id</w:t>
      </w:r>
      <w:r>
        <w:t xml:space="preserve">.  </w:t>
      </w:r>
    </w:p>
  </w:footnote>
  <w:footnote w:id="97">
    <w:p w:rsidR="00D50504" w:rsidRDefault="00D50504">
      <w:pPr>
        <w:pStyle w:val="FootnoteText"/>
      </w:pPr>
      <w:r>
        <w:rPr>
          <w:rStyle w:val="FootnoteReference"/>
        </w:rPr>
        <w:footnoteRef/>
      </w:r>
      <w:r>
        <w:t xml:space="preserve"> </w:t>
      </w:r>
      <w:r>
        <w:rPr>
          <w:rFonts w:ascii="Times New Roman" w:hAnsi="Times New Roman"/>
        </w:rPr>
        <w:t xml:space="preserve">Wang </w:t>
      </w:r>
      <w:proofErr w:type="spellStart"/>
      <w:r>
        <w:rPr>
          <w:rFonts w:ascii="Times New Roman" w:hAnsi="Times New Roman"/>
        </w:rPr>
        <w:t>Xiuqiang</w:t>
      </w:r>
      <w:proofErr w:type="spellEnd"/>
      <w:r>
        <w:rPr>
          <w:rFonts w:ascii="Times New Roman" w:hAnsi="Times New Roman"/>
        </w:rPr>
        <w:t xml:space="preserve">, </w:t>
      </w:r>
      <w:r w:rsidRPr="008E4D1C">
        <w:rPr>
          <w:rFonts w:ascii="Times New Roman" w:hAnsi="Times New Roman"/>
          <w:i/>
        </w:rPr>
        <w:t xml:space="preserve">A Planned Quota System </w:t>
      </w:r>
      <w:proofErr w:type="gramStart"/>
      <w:r>
        <w:rPr>
          <w:rFonts w:ascii="Times New Roman" w:hAnsi="Times New Roman"/>
        </w:rPr>
        <w:t>( Feb</w:t>
      </w:r>
      <w:proofErr w:type="gramEnd"/>
      <w:r>
        <w:rPr>
          <w:rFonts w:ascii="Times New Roman" w:hAnsi="Times New Roman"/>
        </w:rPr>
        <w:t>. 20, 2012).</w:t>
      </w:r>
    </w:p>
  </w:footnote>
  <w:footnote w:id="98">
    <w:p w:rsidR="00D50504" w:rsidRPr="00F64C55" w:rsidRDefault="00D50504">
      <w:pPr>
        <w:pStyle w:val="FootnoteText"/>
      </w:pPr>
      <w:r>
        <w:rPr>
          <w:rStyle w:val="FootnoteReference"/>
        </w:rPr>
        <w:footnoteRef/>
      </w:r>
      <w:r>
        <w:t xml:space="preserve"> </w:t>
      </w:r>
      <w:r w:rsidRPr="00CE4464">
        <w:rPr>
          <w:i/>
        </w:rPr>
        <w:t>Id</w:t>
      </w:r>
      <w:r>
        <w:t xml:space="preserve">. </w:t>
      </w:r>
    </w:p>
  </w:footnote>
  <w:footnote w:id="99">
    <w:p w:rsidR="00D50504" w:rsidRDefault="00D50504">
      <w:pPr>
        <w:pStyle w:val="FootnoteText"/>
      </w:pPr>
      <w:r>
        <w:rPr>
          <w:rStyle w:val="FootnoteReference"/>
        </w:rPr>
        <w:footnoteRef/>
      </w:r>
      <w:r>
        <w:t xml:space="preserve"> </w:t>
      </w:r>
      <w:r w:rsidRPr="00CE4464">
        <w:rPr>
          <w:i/>
        </w:rPr>
        <w:t>Id</w:t>
      </w:r>
      <w:r>
        <w:t>.</w:t>
      </w:r>
    </w:p>
  </w:footnote>
  <w:footnote w:id="100">
    <w:p w:rsidR="00D50504" w:rsidRPr="004B11F6" w:rsidRDefault="00D50504">
      <w:pPr>
        <w:pStyle w:val="FootnoteText"/>
      </w:pPr>
      <w:r>
        <w:rPr>
          <w:rStyle w:val="FootnoteReference"/>
        </w:rPr>
        <w:footnoteRef/>
      </w:r>
      <w:r>
        <w:t xml:space="preserve"> </w:t>
      </w:r>
      <w:proofErr w:type="spellStart"/>
      <w:r>
        <w:t>Karlynn</w:t>
      </w:r>
      <w:proofErr w:type="spellEnd"/>
      <w:r>
        <w:t xml:space="preserve"> Cory et al., </w:t>
      </w:r>
      <w:r>
        <w:rPr>
          <w:rFonts w:ascii="Times New Roman" w:hAnsi="Times New Roman"/>
          <w:i/>
        </w:rPr>
        <w:t>Feed-in Tariff Policy: design, implementation, and RPS policy interactions</w:t>
      </w:r>
      <w:r>
        <w:rPr>
          <w:rFonts w:ascii="Times New Roman" w:hAnsi="Times New Roman"/>
        </w:rPr>
        <w:t xml:space="preserve"> (National Renewable Energy Laboratory, ed., Technical Report, 2009),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2F"/>
    <w:rsid w:val="00014E3C"/>
    <w:rsid w:val="00015826"/>
    <w:rsid w:val="00020E16"/>
    <w:rsid w:val="00026482"/>
    <w:rsid w:val="000310F2"/>
    <w:rsid w:val="00052023"/>
    <w:rsid w:val="0006123D"/>
    <w:rsid w:val="00065296"/>
    <w:rsid w:val="000725F2"/>
    <w:rsid w:val="0007335F"/>
    <w:rsid w:val="00073B75"/>
    <w:rsid w:val="000756D0"/>
    <w:rsid w:val="0007740A"/>
    <w:rsid w:val="0008019A"/>
    <w:rsid w:val="00080436"/>
    <w:rsid w:val="00082487"/>
    <w:rsid w:val="0008526C"/>
    <w:rsid w:val="000853F6"/>
    <w:rsid w:val="00095670"/>
    <w:rsid w:val="000A2DFC"/>
    <w:rsid w:val="000A3285"/>
    <w:rsid w:val="000A3C63"/>
    <w:rsid w:val="000A547A"/>
    <w:rsid w:val="000A743C"/>
    <w:rsid w:val="000A769A"/>
    <w:rsid w:val="000B0E45"/>
    <w:rsid w:val="000B2451"/>
    <w:rsid w:val="000B2B4B"/>
    <w:rsid w:val="000B2E52"/>
    <w:rsid w:val="000D0454"/>
    <w:rsid w:val="000D0934"/>
    <w:rsid w:val="000E2F81"/>
    <w:rsid w:val="000E4065"/>
    <w:rsid w:val="000E6638"/>
    <w:rsid w:val="000E7D6B"/>
    <w:rsid w:val="00100D5B"/>
    <w:rsid w:val="00104329"/>
    <w:rsid w:val="00126BB5"/>
    <w:rsid w:val="0013141F"/>
    <w:rsid w:val="00145D4A"/>
    <w:rsid w:val="001465F4"/>
    <w:rsid w:val="001528C9"/>
    <w:rsid w:val="00153108"/>
    <w:rsid w:val="00156BA1"/>
    <w:rsid w:val="00157B75"/>
    <w:rsid w:val="00161484"/>
    <w:rsid w:val="00176CB6"/>
    <w:rsid w:val="001775E2"/>
    <w:rsid w:val="00181360"/>
    <w:rsid w:val="001854D6"/>
    <w:rsid w:val="00185D80"/>
    <w:rsid w:val="001917FF"/>
    <w:rsid w:val="001970CC"/>
    <w:rsid w:val="001B156D"/>
    <w:rsid w:val="001C7570"/>
    <w:rsid w:val="001D0D4A"/>
    <w:rsid w:val="001D0FB3"/>
    <w:rsid w:val="001D4E61"/>
    <w:rsid w:val="001D5E35"/>
    <w:rsid w:val="001D64AF"/>
    <w:rsid w:val="001D72FD"/>
    <w:rsid w:val="001D762C"/>
    <w:rsid w:val="001E2CC6"/>
    <w:rsid w:val="00210220"/>
    <w:rsid w:val="00210ED1"/>
    <w:rsid w:val="002114D1"/>
    <w:rsid w:val="00222D48"/>
    <w:rsid w:val="0022595C"/>
    <w:rsid w:val="0022618D"/>
    <w:rsid w:val="002572E0"/>
    <w:rsid w:val="002607EE"/>
    <w:rsid w:val="002631A3"/>
    <w:rsid w:val="00275E0B"/>
    <w:rsid w:val="002829A4"/>
    <w:rsid w:val="002916B9"/>
    <w:rsid w:val="00293347"/>
    <w:rsid w:val="00294FDD"/>
    <w:rsid w:val="002A152B"/>
    <w:rsid w:val="002A2F5A"/>
    <w:rsid w:val="002A327D"/>
    <w:rsid w:val="002C1593"/>
    <w:rsid w:val="002C3693"/>
    <w:rsid w:val="002C392F"/>
    <w:rsid w:val="002D081D"/>
    <w:rsid w:val="002E6E46"/>
    <w:rsid w:val="002F2724"/>
    <w:rsid w:val="002F56E0"/>
    <w:rsid w:val="002F5C79"/>
    <w:rsid w:val="002F715B"/>
    <w:rsid w:val="00300F0C"/>
    <w:rsid w:val="00303A86"/>
    <w:rsid w:val="003206E5"/>
    <w:rsid w:val="00320B43"/>
    <w:rsid w:val="003313C5"/>
    <w:rsid w:val="00341E19"/>
    <w:rsid w:val="003420DB"/>
    <w:rsid w:val="003539AB"/>
    <w:rsid w:val="00353D9F"/>
    <w:rsid w:val="0036026B"/>
    <w:rsid w:val="003603D9"/>
    <w:rsid w:val="00360974"/>
    <w:rsid w:val="00360B36"/>
    <w:rsid w:val="00365846"/>
    <w:rsid w:val="003659A2"/>
    <w:rsid w:val="00374D4A"/>
    <w:rsid w:val="003839E0"/>
    <w:rsid w:val="00384C07"/>
    <w:rsid w:val="0038648F"/>
    <w:rsid w:val="00386C8C"/>
    <w:rsid w:val="00395365"/>
    <w:rsid w:val="003A41A2"/>
    <w:rsid w:val="003A42D8"/>
    <w:rsid w:val="003A4A73"/>
    <w:rsid w:val="003B2372"/>
    <w:rsid w:val="003B4E5D"/>
    <w:rsid w:val="003B7679"/>
    <w:rsid w:val="003E2938"/>
    <w:rsid w:val="003E398C"/>
    <w:rsid w:val="003E4A6C"/>
    <w:rsid w:val="003E57B6"/>
    <w:rsid w:val="003F13EB"/>
    <w:rsid w:val="003F4CF0"/>
    <w:rsid w:val="003F7DBC"/>
    <w:rsid w:val="0040532A"/>
    <w:rsid w:val="00405767"/>
    <w:rsid w:val="004153EF"/>
    <w:rsid w:val="004154B3"/>
    <w:rsid w:val="004172FA"/>
    <w:rsid w:val="004202F7"/>
    <w:rsid w:val="004238A1"/>
    <w:rsid w:val="00432567"/>
    <w:rsid w:val="00435A0B"/>
    <w:rsid w:val="00437192"/>
    <w:rsid w:val="0043744E"/>
    <w:rsid w:val="00450BDA"/>
    <w:rsid w:val="00450C8F"/>
    <w:rsid w:val="004513A4"/>
    <w:rsid w:val="004526EC"/>
    <w:rsid w:val="00452BE7"/>
    <w:rsid w:val="00463238"/>
    <w:rsid w:val="00466696"/>
    <w:rsid w:val="00466F4A"/>
    <w:rsid w:val="0047374D"/>
    <w:rsid w:val="00474FD6"/>
    <w:rsid w:val="0047637D"/>
    <w:rsid w:val="004A7945"/>
    <w:rsid w:val="004A7C32"/>
    <w:rsid w:val="004A7E72"/>
    <w:rsid w:val="004B11F6"/>
    <w:rsid w:val="004B3751"/>
    <w:rsid w:val="004C34E6"/>
    <w:rsid w:val="004E20F7"/>
    <w:rsid w:val="004E29AD"/>
    <w:rsid w:val="004E2AAF"/>
    <w:rsid w:val="004E3A13"/>
    <w:rsid w:val="004E40CA"/>
    <w:rsid w:val="004E5E28"/>
    <w:rsid w:val="004F0233"/>
    <w:rsid w:val="004F5254"/>
    <w:rsid w:val="0050016A"/>
    <w:rsid w:val="00513E8C"/>
    <w:rsid w:val="00515927"/>
    <w:rsid w:val="005214F0"/>
    <w:rsid w:val="00522124"/>
    <w:rsid w:val="00522A42"/>
    <w:rsid w:val="00536F4F"/>
    <w:rsid w:val="00543D66"/>
    <w:rsid w:val="005441CC"/>
    <w:rsid w:val="00550AA5"/>
    <w:rsid w:val="005528E2"/>
    <w:rsid w:val="005570E9"/>
    <w:rsid w:val="00560084"/>
    <w:rsid w:val="005611E2"/>
    <w:rsid w:val="00564D0A"/>
    <w:rsid w:val="00567F6B"/>
    <w:rsid w:val="005802EE"/>
    <w:rsid w:val="00587827"/>
    <w:rsid w:val="00591267"/>
    <w:rsid w:val="00597EBD"/>
    <w:rsid w:val="005A6B3D"/>
    <w:rsid w:val="005A72C5"/>
    <w:rsid w:val="005B00AF"/>
    <w:rsid w:val="005B01FD"/>
    <w:rsid w:val="005B1100"/>
    <w:rsid w:val="005B4113"/>
    <w:rsid w:val="005C4C3B"/>
    <w:rsid w:val="005D1EB3"/>
    <w:rsid w:val="005D69A6"/>
    <w:rsid w:val="005D70D9"/>
    <w:rsid w:val="005E216E"/>
    <w:rsid w:val="005E4233"/>
    <w:rsid w:val="005E46C7"/>
    <w:rsid w:val="005F24EB"/>
    <w:rsid w:val="005F52A3"/>
    <w:rsid w:val="006016F3"/>
    <w:rsid w:val="00602420"/>
    <w:rsid w:val="00604395"/>
    <w:rsid w:val="00610911"/>
    <w:rsid w:val="00613C76"/>
    <w:rsid w:val="00617A30"/>
    <w:rsid w:val="0062032C"/>
    <w:rsid w:val="00623816"/>
    <w:rsid w:val="00631CCE"/>
    <w:rsid w:val="00633BC4"/>
    <w:rsid w:val="00642AB2"/>
    <w:rsid w:val="006548F7"/>
    <w:rsid w:val="006600D0"/>
    <w:rsid w:val="00663A52"/>
    <w:rsid w:val="00673F06"/>
    <w:rsid w:val="00686415"/>
    <w:rsid w:val="00686C04"/>
    <w:rsid w:val="006874BF"/>
    <w:rsid w:val="006B1375"/>
    <w:rsid w:val="006B16C1"/>
    <w:rsid w:val="006B5B98"/>
    <w:rsid w:val="006B6B07"/>
    <w:rsid w:val="006C1195"/>
    <w:rsid w:val="006C3A9E"/>
    <w:rsid w:val="006C4E73"/>
    <w:rsid w:val="006D08D9"/>
    <w:rsid w:val="006D0AE4"/>
    <w:rsid w:val="006D1FF4"/>
    <w:rsid w:val="006D3F55"/>
    <w:rsid w:val="006D6150"/>
    <w:rsid w:val="006E0242"/>
    <w:rsid w:val="006E274A"/>
    <w:rsid w:val="00706E22"/>
    <w:rsid w:val="007167FB"/>
    <w:rsid w:val="00722DDD"/>
    <w:rsid w:val="00724791"/>
    <w:rsid w:val="007265E4"/>
    <w:rsid w:val="007277E8"/>
    <w:rsid w:val="00730811"/>
    <w:rsid w:val="007310CD"/>
    <w:rsid w:val="00742575"/>
    <w:rsid w:val="007613E5"/>
    <w:rsid w:val="0076240D"/>
    <w:rsid w:val="007646E5"/>
    <w:rsid w:val="007661C4"/>
    <w:rsid w:val="007667C4"/>
    <w:rsid w:val="00781770"/>
    <w:rsid w:val="007A183B"/>
    <w:rsid w:val="007A5B17"/>
    <w:rsid w:val="007B1C09"/>
    <w:rsid w:val="007B27D8"/>
    <w:rsid w:val="007B4E89"/>
    <w:rsid w:val="007B5086"/>
    <w:rsid w:val="007B52ED"/>
    <w:rsid w:val="007C3942"/>
    <w:rsid w:val="007C442F"/>
    <w:rsid w:val="007C503C"/>
    <w:rsid w:val="007D1D75"/>
    <w:rsid w:val="007E452E"/>
    <w:rsid w:val="007E53B9"/>
    <w:rsid w:val="007E5AE3"/>
    <w:rsid w:val="007E723F"/>
    <w:rsid w:val="007F4E8A"/>
    <w:rsid w:val="00807C86"/>
    <w:rsid w:val="00812D34"/>
    <w:rsid w:val="00822123"/>
    <w:rsid w:val="00835203"/>
    <w:rsid w:val="0084676C"/>
    <w:rsid w:val="00847EC4"/>
    <w:rsid w:val="008506AF"/>
    <w:rsid w:val="0085160D"/>
    <w:rsid w:val="00853CDE"/>
    <w:rsid w:val="00863EB7"/>
    <w:rsid w:val="00877289"/>
    <w:rsid w:val="00885D65"/>
    <w:rsid w:val="00892B4E"/>
    <w:rsid w:val="008A39A6"/>
    <w:rsid w:val="008B34D7"/>
    <w:rsid w:val="008B45BD"/>
    <w:rsid w:val="008B714D"/>
    <w:rsid w:val="008C4FE7"/>
    <w:rsid w:val="008C7CA2"/>
    <w:rsid w:val="008D7A1C"/>
    <w:rsid w:val="008E0A1D"/>
    <w:rsid w:val="008E17B2"/>
    <w:rsid w:val="008E4D1C"/>
    <w:rsid w:val="008F3BA4"/>
    <w:rsid w:val="009003D2"/>
    <w:rsid w:val="00906C50"/>
    <w:rsid w:val="0091079F"/>
    <w:rsid w:val="00911F47"/>
    <w:rsid w:val="00914163"/>
    <w:rsid w:val="00915626"/>
    <w:rsid w:val="00916969"/>
    <w:rsid w:val="009243AD"/>
    <w:rsid w:val="00926445"/>
    <w:rsid w:val="00932ED2"/>
    <w:rsid w:val="00940D3C"/>
    <w:rsid w:val="009440E7"/>
    <w:rsid w:val="00944892"/>
    <w:rsid w:val="0094507F"/>
    <w:rsid w:val="0096267C"/>
    <w:rsid w:val="00977BDC"/>
    <w:rsid w:val="00981AC5"/>
    <w:rsid w:val="0098238B"/>
    <w:rsid w:val="00983980"/>
    <w:rsid w:val="00986B6B"/>
    <w:rsid w:val="00987BCB"/>
    <w:rsid w:val="00997FE2"/>
    <w:rsid w:val="009A1EFB"/>
    <w:rsid w:val="009A3528"/>
    <w:rsid w:val="009A6CBF"/>
    <w:rsid w:val="009B1DEF"/>
    <w:rsid w:val="009C0E92"/>
    <w:rsid w:val="009C4848"/>
    <w:rsid w:val="009C6282"/>
    <w:rsid w:val="009C7CD7"/>
    <w:rsid w:val="009D1178"/>
    <w:rsid w:val="009D7791"/>
    <w:rsid w:val="009D7C93"/>
    <w:rsid w:val="009E0689"/>
    <w:rsid w:val="009E5055"/>
    <w:rsid w:val="009E59B5"/>
    <w:rsid w:val="009E6247"/>
    <w:rsid w:val="00A00D9D"/>
    <w:rsid w:val="00A10625"/>
    <w:rsid w:val="00A10F13"/>
    <w:rsid w:val="00A132BB"/>
    <w:rsid w:val="00A161C3"/>
    <w:rsid w:val="00A2056B"/>
    <w:rsid w:val="00A257F6"/>
    <w:rsid w:val="00A4362E"/>
    <w:rsid w:val="00A548B0"/>
    <w:rsid w:val="00A57597"/>
    <w:rsid w:val="00A60A3A"/>
    <w:rsid w:val="00A61472"/>
    <w:rsid w:val="00A66519"/>
    <w:rsid w:val="00A71AF8"/>
    <w:rsid w:val="00A72FCF"/>
    <w:rsid w:val="00A760EB"/>
    <w:rsid w:val="00AA0EBD"/>
    <w:rsid w:val="00AB0847"/>
    <w:rsid w:val="00AB17E3"/>
    <w:rsid w:val="00AC12FC"/>
    <w:rsid w:val="00AC3429"/>
    <w:rsid w:val="00AC6B7E"/>
    <w:rsid w:val="00AC7DCB"/>
    <w:rsid w:val="00AD09F2"/>
    <w:rsid w:val="00AD3833"/>
    <w:rsid w:val="00AE38BA"/>
    <w:rsid w:val="00AE49B7"/>
    <w:rsid w:val="00AF3657"/>
    <w:rsid w:val="00B024F1"/>
    <w:rsid w:val="00B047E5"/>
    <w:rsid w:val="00B07CBA"/>
    <w:rsid w:val="00B12608"/>
    <w:rsid w:val="00B13411"/>
    <w:rsid w:val="00B14113"/>
    <w:rsid w:val="00B3127C"/>
    <w:rsid w:val="00B3217D"/>
    <w:rsid w:val="00B327E8"/>
    <w:rsid w:val="00B37A49"/>
    <w:rsid w:val="00B41689"/>
    <w:rsid w:val="00B467D1"/>
    <w:rsid w:val="00B53DA8"/>
    <w:rsid w:val="00B53EF8"/>
    <w:rsid w:val="00B62FD0"/>
    <w:rsid w:val="00B64E22"/>
    <w:rsid w:val="00B64E3C"/>
    <w:rsid w:val="00B66323"/>
    <w:rsid w:val="00B73E85"/>
    <w:rsid w:val="00B765CB"/>
    <w:rsid w:val="00B80968"/>
    <w:rsid w:val="00B8776C"/>
    <w:rsid w:val="00B9371F"/>
    <w:rsid w:val="00B93AED"/>
    <w:rsid w:val="00BB4A28"/>
    <w:rsid w:val="00BB6EA6"/>
    <w:rsid w:val="00BC136E"/>
    <w:rsid w:val="00BC1956"/>
    <w:rsid w:val="00BC4F73"/>
    <w:rsid w:val="00BD3441"/>
    <w:rsid w:val="00BE36FF"/>
    <w:rsid w:val="00BF08DE"/>
    <w:rsid w:val="00BF2047"/>
    <w:rsid w:val="00C018C3"/>
    <w:rsid w:val="00C06955"/>
    <w:rsid w:val="00C16C2B"/>
    <w:rsid w:val="00C2271D"/>
    <w:rsid w:val="00C230D5"/>
    <w:rsid w:val="00C2519D"/>
    <w:rsid w:val="00C25665"/>
    <w:rsid w:val="00C3668C"/>
    <w:rsid w:val="00C37FB3"/>
    <w:rsid w:val="00C40EAD"/>
    <w:rsid w:val="00C429DE"/>
    <w:rsid w:val="00C45CAE"/>
    <w:rsid w:val="00C46CEC"/>
    <w:rsid w:val="00C60DBD"/>
    <w:rsid w:val="00C67862"/>
    <w:rsid w:val="00C71F37"/>
    <w:rsid w:val="00C77C1A"/>
    <w:rsid w:val="00C8387A"/>
    <w:rsid w:val="00C91F87"/>
    <w:rsid w:val="00C948B5"/>
    <w:rsid w:val="00C95497"/>
    <w:rsid w:val="00C971CE"/>
    <w:rsid w:val="00CA0AA4"/>
    <w:rsid w:val="00CA13A4"/>
    <w:rsid w:val="00CA2EF3"/>
    <w:rsid w:val="00CB72AA"/>
    <w:rsid w:val="00CC1A0A"/>
    <w:rsid w:val="00CC5FA2"/>
    <w:rsid w:val="00CC775C"/>
    <w:rsid w:val="00CD4938"/>
    <w:rsid w:val="00CD5B31"/>
    <w:rsid w:val="00CE1910"/>
    <w:rsid w:val="00CE4464"/>
    <w:rsid w:val="00CF3739"/>
    <w:rsid w:val="00D05516"/>
    <w:rsid w:val="00D0742C"/>
    <w:rsid w:val="00D10B8D"/>
    <w:rsid w:val="00D22DFC"/>
    <w:rsid w:val="00D25D42"/>
    <w:rsid w:val="00D3631A"/>
    <w:rsid w:val="00D36C41"/>
    <w:rsid w:val="00D4542C"/>
    <w:rsid w:val="00D50504"/>
    <w:rsid w:val="00D53E8C"/>
    <w:rsid w:val="00D54A47"/>
    <w:rsid w:val="00D55DDE"/>
    <w:rsid w:val="00D62EBC"/>
    <w:rsid w:val="00D67DC4"/>
    <w:rsid w:val="00D700E5"/>
    <w:rsid w:val="00D73487"/>
    <w:rsid w:val="00D76CDE"/>
    <w:rsid w:val="00D76EC5"/>
    <w:rsid w:val="00D90EF6"/>
    <w:rsid w:val="00DC239F"/>
    <w:rsid w:val="00DC3576"/>
    <w:rsid w:val="00DD6183"/>
    <w:rsid w:val="00DE388D"/>
    <w:rsid w:val="00DE6C8C"/>
    <w:rsid w:val="00DF7CAB"/>
    <w:rsid w:val="00E0107C"/>
    <w:rsid w:val="00E17CA1"/>
    <w:rsid w:val="00E20F3D"/>
    <w:rsid w:val="00E2459A"/>
    <w:rsid w:val="00E251C4"/>
    <w:rsid w:val="00E34D63"/>
    <w:rsid w:val="00E40E1F"/>
    <w:rsid w:val="00E50568"/>
    <w:rsid w:val="00E53BFA"/>
    <w:rsid w:val="00E56504"/>
    <w:rsid w:val="00E62423"/>
    <w:rsid w:val="00E62928"/>
    <w:rsid w:val="00E70189"/>
    <w:rsid w:val="00E708CA"/>
    <w:rsid w:val="00E718AA"/>
    <w:rsid w:val="00E772E8"/>
    <w:rsid w:val="00E82B08"/>
    <w:rsid w:val="00E938F9"/>
    <w:rsid w:val="00EB62D3"/>
    <w:rsid w:val="00EC03E8"/>
    <w:rsid w:val="00EC467E"/>
    <w:rsid w:val="00ED524D"/>
    <w:rsid w:val="00EE1FE4"/>
    <w:rsid w:val="00EE38D0"/>
    <w:rsid w:val="00EF62A8"/>
    <w:rsid w:val="00EF676F"/>
    <w:rsid w:val="00F00B12"/>
    <w:rsid w:val="00F11105"/>
    <w:rsid w:val="00F112D6"/>
    <w:rsid w:val="00F12FD1"/>
    <w:rsid w:val="00F13B41"/>
    <w:rsid w:val="00F151A7"/>
    <w:rsid w:val="00F161F3"/>
    <w:rsid w:val="00F1787C"/>
    <w:rsid w:val="00F34989"/>
    <w:rsid w:val="00F3511A"/>
    <w:rsid w:val="00F3532C"/>
    <w:rsid w:val="00F35B26"/>
    <w:rsid w:val="00F4550F"/>
    <w:rsid w:val="00F61EF5"/>
    <w:rsid w:val="00F64C55"/>
    <w:rsid w:val="00F6683F"/>
    <w:rsid w:val="00F70AD6"/>
    <w:rsid w:val="00F72581"/>
    <w:rsid w:val="00F74D76"/>
    <w:rsid w:val="00F90CA2"/>
    <w:rsid w:val="00F9244F"/>
    <w:rsid w:val="00F9456F"/>
    <w:rsid w:val="00FA26B5"/>
    <w:rsid w:val="00FA70E2"/>
    <w:rsid w:val="00FA7107"/>
    <w:rsid w:val="00FC0553"/>
    <w:rsid w:val="00FC4CFC"/>
    <w:rsid w:val="00FC58CD"/>
    <w:rsid w:val="00FC6767"/>
    <w:rsid w:val="00FD1521"/>
    <w:rsid w:val="00FD2623"/>
    <w:rsid w:val="00FD4287"/>
    <w:rsid w:val="00FE3CCC"/>
    <w:rsid w:val="00FE6054"/>
    <w:rsid w:val="00FF0B7F"/>
    <w:rsid w:val="00FF20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4C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27D"/>
  </w:style>
  <w:style w:type="character" w:customStyle="1" w:styleId="FootnoteTextChar">
    <w:name w:val="Footnote Text Char"/>
    <w:basedOn w:val="DefaultParagraphFont"/>
    <w:link w:val="FootnoteText"/>
    <w:uiPriority w:val="99"/>
    <w:semiHidden/>
    <w:rsid w:val="002A327D"/>
    <w:rPr>
      <w:sz w:val="24"/>
      <w:szCs w:val="24"/>
    </w:rPr>
  </w:style>
  <w:style w:type="character" w:styleId="FootnoteReference">
    <w:name w:val="footnote reference"/>
    <w:basedOn w:val="DefaultParagraphFont"/>
    <w:uiPriority w:val="99"/>
    <w:semiHidden/>
    <w:unhideWhenUsed/>
    <w:rsid w:val="002A327D"/>
    <w:rPr>
      <w:vertAlign w:val="superscript"/>
    </w:rPr>
  </w:style>
  <w:style w:type="character" w:customStyle="1" w:styleId="tou-3">
    <w:name w:val="tou-3"/>
    <w:basedOn w:val="DefaultParagraphFont"/>
    <w:rsid w:val="004B3751"/>
  </w:style>
  <w:style w:type="character" w:customStyle="1" w:styleId="FooterChar">
    <w:name w:val="Footer Char"/>
    <w:basedOn w:val="DefaultParagraphFont"/>
    <w:link w:val="Footer"/>
    <w:uiPriority w:val="99"/>
    <w:semiHidden/>
    <w:rsid w:val="0098238B"/>
    <w:rPr>
      <w:sz w:val="24"/>
    </w:rPr>
  </w:style>
  <w:style w:type="paragraph" w:styleId="Footer">
    <w:name w:val="footer"/>
    <w:basedOn w:val="Normal"/>
    <w:link w:val="FooterChar"/>
    <w:uiPriority w:val="99"/>
    <w:semiHidden/>
    <w:unhideWhenUsed/>
    <w:rsid w:val="0098238B"/>
    <w:pPr>
      <w:tabs>
        <w:tab w:val="center" w:pos="4320"/>
        <w:tab w:val="right" w:pos="8640"/>
      </w:tabs>
    </w:pPr>
  </w:style>
  <w:style w:type="character" w:styleId="PageNumber">
    <w:name w:val="page number"/>
    <w:basedOn w:val="DefaultParagraphFont"/>
    <w:uiPriority w:val="99"/>
    <w:semiHidden/>
    <w:unhideWhenUsed/>
    <w:rsid w:val="001D0D4A"/>
  </w:style>
  <w:style w:type="character" w:styleId="Hyperlink">
    <w:name w:val="Hyperlink"/>
    <w:basedOn w:val="DefaultParagraphFont"/>
    <w:uiPriority w:val="99"/>
    <w:semiHidden/>
    <w:unhideWhenUsed/>
    <w:rsid w:val="003F4CF0"/>
    <w:rPr>
      <w:color w:val="0000FF" w:themeColor="hyperlink"/>
      <w:u w:val="single"/>
    </w:rPr>
  </w:style>
  <w:style w:type="table" w:styleId="TableGrid">
    <w:name w:val="Table Grid"/>
    <w:basedOn w:val="TableNormal"/>
    <w:uiPriority w:val="59"/>
    <w:rsid w:val="00AD0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ex1">
    <w:name w:val="index 1"/>
    <w:basedOn w:val="Normal"/>
    <w:next w:val="Normal"/>
    <w:autoRedefine/>
    <w:rsid w:val="00D50504"/>
    <w:pPr>
      <w:ind w:left="240" w:hanging="240"/>
    </w:pPr>
  </w:style>
  <w:style w:type="paragraph" w:styleId="Index2">
    <w:name w:val="index 2"/>
    <w:basedOn w:val="Normal"/>
    <w:next w:val="Normal"/>
    <w:autoRedefine/>
    <w:rsid w:val="00D50504"/>
    <w:pPr>
      <w:ind w:left="480" w:hanging="240"/>
    </w:pPr>
  </w:style>
  <w:style w:type="paragraph" w:styleId="Index3">
    <w:name w:val="index 3"/>
    <w:basedOn w:val="Normal"/>
    <w:next w:val="Normal"/>
    <w:autoRedefine/>
    <w:rsid w:val="00D50504"/>
    <w:pPr>
      <w:ind w:left="720" w:hanging="240"/>
    </w:pPr>
  </w:style>
  <w:style w:type="paragraph" w:styleId="Index4">
    <w:name w:val="index 4"/>
    <w:basedOn w:val="Normal"/>
    <w:next w:val="Normal"/>
    <w:autoRedefine/>
    <w:rsid w:val="00D50504"/>
    <w:pPr>
      <w:ind w:left="960" w:hanging="240"/>
    </w:pPr>
  </w:style>
  <w:style w:type="paragraph" w:styleId="Index5">
    <w:name w:val="index 5"/>
    <w:basedOn w:val="Normal"/>
    <w:next w:val="Normal"/>
    <w:autoRedefine/>
    <w:rsid w:val="00D50504"/>
    <w:pPr>
      <w:ind w:left="1200" w:hanging="240"/>
    </w:pPr>
  </w:style>
  <w:style w:type="paragraph" w:styleId="Index6">
    <w:name w:val="index 6"/>
    <w:basedOn w:val="Normal"/>
    <w:next w:val="Normal"/>
    <w:autoRedefine/>
    <w:rsid w:val="00D50504"/>
    <w:pPr>
      <w:ind w:left="1440" w:hanging="240"/>
    </w:pPr>
  </w:style>
  <w:style w:type="paragraph" w:styleId="Index7">
    <w:name w:val="index 7"/>
    <w:basedOn w:val="Normal"/>
    <w:next w:val="Normal"/>
    <w:autoRedefine/>
    <w:rsid w:val="00D50504"/>
    <w:pPr>
      <w:ind w:left="1680" w:hanging="240"/>
    </w:pPr>
  </w:style>
  <w:style w:type="paragraph" w:styleId="Index8">
    <w:name w:val="index 8"/>
    <w:basedOn w:val="Normal"/>
    <w:next w:val="Normal"/>
    <w:autoRedefine/>
    <w:rsid w:val="00D50504"/>
    <w:pPr>
      <w:ind w:left="1920" w:hanging="240"/>
    </w:pPr>
  </w:style>
  <w:style w:type="paragraph" w:styleId="Index9">
    <w:name w:val="index 9"/>
    <w:basedOn w:val="Normal"/>
    <w:next w:val="Normal"/>
    <w:autoRedefine/>
    <w:rsid w:val="00D50504"/>
    <w:pPr>
      <w:ind w:left="2160" w:hanging="240"/>
    </w:pPr>
  </w:style>
  <w:style w:type="paragraph" w:styleId="IndexHeading">
    <w:name w:val="index heading"/>
    <w:basedOn w:val="Normal"/>
    <w:next w:val="Index1"/>
    <w:rsid w:val="00D50504"/>
  </w:style>
  <w:style w:type="paragraph" w:styleId="BalloonText">
    <w:name w:val="Balloon Text"/>
    <w:basedOn w:val="Normal"/>
    <w:link w:val="BalloonTextChar"/>
    <w:rsid w:val="006C3A9E"/>
    <w:rPr>
      <w:rFonts w:ascii="Tahoma" w:hAnsi="Tahoma" w:cs="Tahoma"/>
      <w:sz w:val="16"/>
      <w:szCs w:val="16"/>
    </w:rPr>
  </w:style>
  <w:style w:type="character" w:customStyle="1" w:styleId="BalloonTextChar">
    <w:name w:val="Balloon Text Char"/>
    <w:basedOn w:val="DefaultParagraphFont"/>
    <w:link w:val="BalloonText"/>
    <w:rsid w:val="006C3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4C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27D"/>
  </w:style>
  <w:style w:type="character" w:customStyle="1" w:styleId="FootnoteTextChar">
    <w:name w:val="Footnote Text Char"/>
    <w:basedOn w:val="DefaultParagraphFont"/>
    <w:link w:val="FootnoteText"/>
    <w:uiPriority w:val="99"/>
    <w:semiHidden/>
    <w:rsid w:val="002A327D"/>
    <w:rPr>
      <w:sz w:val="24"/>
      <w:szCs w:val="24"/>
    </w:rPr>
  </w:style>
  <w:style w:type="character" w:styleId="FootnoteReference">
    <w:name w:val="footnote reference"/>
    <w:basedOn w:val="DefaultParagraphFont"/>
    <w:uiPriority w:val="99"/>
    <w:semiHidden/>
    <w:unhideWhenUsed/>
    <w:rsid w:val="002A327D"/>
    <w:rPr>
      <w:vertAlign w:val="superscript"/>
    </w:rPr>
  </w:style>
  <w:style w:type="character" w:customStyle="1" w:styleId="tou-3">
    <w:name w:val="tou-3"/>
    <w:basedOn w:val="DefaultParagraphFont"/>
    <w:rsid w:val="004B3751"/>
  </w:style>
  <w:style w:type="character" w:customStyle="1" w:styleId="FooterChar">
    <w:name w:val="Footer Char"/>
    <w:basedOn w:val="DefaultParagraphFont"/>
    <w:link w:val="Footer"/>
    <w:uiPriority w:val="99"/>
    <w:semiHidden/>
    <w:rsid w:val="0098238B"/>
    <w:rPr>
      <w:sz w:val="24"/>
    </w:rPr>
  </w:style>
  <w:style w:type="paragraph" w:styleId="Footer">
    <w:name w:val="footer"/>
    <w:basedOn w:val="Normal"/>
    <w:link w:val="FooterChar"/>
    <w:uiPriority w:val="99"/>
    <w:semiHidden/>
    <w:unhideWhenUsed/>
    <w:rsid w:val="0098238B"/>
    <w:pPr>
      <w:tabs>
        <w:tab w:val="center" w:pos="4320"/>
        <w:tab w:val="right" w:pos="8640"/>
      </w:tabs>
    </w:pPr>
  </w:style>
  <w:style w:type="character" w:styleId="PageNumber">
    <w:name w:val="page number"/>
    <w:basedOn w:val="DefaultParagraphFont"/>
    <w:uiPriority w:val="99"/>
    <w:semiHidden/>
    <w:unhideWhenUsed/>
    <w:rsid w:val="001D0D4A"/>
  </w:style>
  <w:style w:type="character" w:styleId="Hyperlink">
    <w:name w:val="Hyperlink"/>
    <w:basedOn w:val="DefaultParagraphFont"/>
    <w:uiPriority w:val="99"/>
    <w:semiHidden/>
    <w:unhideWhenUsed/>
    <w:rsid w:val="003F4CF0"/>
    <w:rPr>
      <w:color w:val="0000FF" w:themeColor="hyperlink"/>
      <w:u w:val="single"/>
    </w:rPr>
  </w:style>
  <w:style w:type="table" w:styleId="TableGrid">
    <w:name w:val="Table Grid"/>
    <w:basedOn w:val="TableNormal"/>
    <w:uiPriority w:val="59"/>
    <w:rsid w:val="00AD0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ex1">
    <w:name w:val="index 1"/>
    <w:basedOn w:val="Normal"/>
    <w:next w:val="Normal"/>
    <w:autoRedefine/>
    <w:rsid w:val="00D50504"/>
    <w:pPr>
      <w:ind w:left="240" w:hanging="240"/>
    </w:pPr>
  </w:style>
  <w:style w:type="paragraph" w:styleId="Index2">
    <w:name w:val="index 2"/>
    <w:basedOn w:val="Normal"/>
    <w:next w:val="Normal"/>
    <w:autoRedefine/>
    <w:rsid w:val="00D50504"/>
    <w:pPr>
      <w:ind w:left="480" w:hanging="240"/>
    </w:pPr>
  </w:style>
  <w:style w:type="paragraph" w:styleId="Index3">
    <w:name w:val="index 3"/>
    <w:basedOn w:val="Normal"/>
    <w:next w:val="Normal"/>
    <w:autoRedefine/>
    <w:rsid w:val="00D50504"/>
    <w:pPr>
      <w:ind w:left="720" w:hanging="240"/>
    </w:pPr>
  </w:style>
  <w:style w:type="paragraph" w:styleId="Index4">
    <w:name w:val="index 4"/>
    <w:basedOn w:val="Normal"/>
    <w:next w:val="Normal"/>
    <w:autoRedefine/>
    <w:rsid w:val="00D50504"/>
    <w:pPr>
      <w:ind w:left="960" w:hanging="240"/>
    </w:pPr>
  </w:style>
  <w:style w:type="paragraph" w:styleId="Index5">
    <w:name w:val="index 5"/>
    <w:basedOn w:val="Normal"/>
    <w:next w:val="Normal"/>
    <w:autoRedefine/>
    <w:rsid w:val="00D50504"/>
    <w:pPr>
      <w:ind w:left="1200" w:hanging="240"/>
    </w:pPr>
  </w:style>
  <w:style w:type="paragraph" w:styleId="Index6">
    <w:name w:val="index 6"/>
    <w:basedOn w:val="Normal"/>
    <w:next w:val="Normal"/>
    <w:autoRedefine/>
    <w:rsid w:val="00D50504"/>
    <w:pPr>
      <w:ind w:left="1440" w:hanging="240"/>
    </w:pPr>
  </w:style>
  <w:style w:type="paragraph" w:styleId="Index7">
    <w:name w:val="index 7"/>
    <w:basedOn w:val="Normal"/>
    <w:next w:val="Normal"/>
    <w:autoRedefine/>
    <w:rsid w:val="00D50504"/>
    <w:pPr>
      <w:ind w:left="1680" w:hanging="240"/>
    </w:pPr>
  </w:style>
  <w:style w:type="paragraph" w:styleId="Index8">
    <w:name w:val="index 8"/>
    <w:basedOn w:val="Normal"/>
    <w:next w:val="Normal"/>
    <w:autoRedefine/>
    <w:rsid w:val="00D50504"/>
    <w:pPr>
      <w:ind w:left="1920" w:hanging="240"/>
    </w:pPr>
  </w:style>
  <w:style w:type="paragraph" w:styleId="Index9">
    <w:name w:val="index 9"/>
    <w:basedOn w:val="Normal"/>
    <w:next w:val="Normal"/>
    <w:autoRedefine/>
    <w:rsid w:val="00D50504"/>
    <w:pPr>
      <w:ind w:left="2160" w:hanging="240"/>
    </w:pPr>
  </w:style>
  <w:style w:type="paragraph" w:styleId="IndexHeading">
    <w:name w:val="index heading"/>
    <w:basedOn w:val="Normal"/>
    <w:next w:val="Index1"/>
    <w:rsid w:val="00D50504"/>
  </w:style>
  <w:style w:type="paragraph" w:styleId="BalloonText">
    <w:name w:val="Balloon Text"/>
    <w:basedOn w:val="Normal"/>
    <w:link w:val="BalloonTextChar"/>
    <w:rsid w:val="006C3A9E"/>
    <w:rPr>
      <w:rFonts w:ascii="Tahoma" w:hAnsi="Tahoma" w:cs="Tahoma"/>
      <w:sz w:val="16"/>
      <w:szCs w:val="16"/>
    </w:rPr>
  </w:style>
  <w:style w:type="character" w:customStyle="1" w:styleId="BalloonTextChar">
    <w:name w:val="Balloon Text Char"/>
    <w:basedOn w:val="DefaultParagraphFont"/>
    <w:link w:val="BalloonText"/>
    <w:rsid w:val="006C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7748">
      <w:bodyDiv w:val="1"/>
      <w:marLeft w:val="0"/>
      <w:marRight w:val="0"/>
      <w:marTop w:val="0"/>
      <w:marBottom w:val="0"/>
      <w:divBdr>
        <w:top w:val="none" w:sz="0" w:space="0" w:color="auto"/>
        <w:left w:val="none" w:sz="0" w:space="0" w:color="auto"/>
        <w:bottom w:val="none" w:sz="0" w:space="0" w:color="auto"/>
        <w:right w:val="none" w:sz="0" w:space="0" w:color="auto"/>
      </w:divBdr>
      <w:divsChild>
        <w:div w:id="94575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EBA5-5D28-4E1F-A40B-B3433B3F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FB98655C.dotm</Template>
  <TotalTime>1</TotalTime>
  <Pages>28</Pages>
  <Words>6501</Words>
  <Characters>37060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Green</dc:creator>
  <cp:lastModifiedBy>Marie Richard-Mauldin</cp:lastModifiedBy>
  <cp:revision>2</cp:revision>
  <cp:lastPrinted>2012-08-09T15:49:00Z</cp:lastPrinted>
  <dcterms:created xsi:type="dcterms:W3CDTF">2012-08-09T16:32:00Z</dcterms:created>
  <dcterms:modified xsi:type="dcterms:W3CDTF">2012-08-09T16:32:00Z</dcterms:modified>
</cp:coreProperties>
</file>